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word/commentsExtensible.xml" ContentType="application/vnd.openxmlformats-officedocument.wordprocessingml.commentsExtensible+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5920" w14:textId="77777777" w:rsidR="00AD6966" w:rsidRDefault="000776E9" w:rsidP="00337A1D">
      <w:r w:rsidRPr="001112A4">
        <w:rPr>
          <w:b/>
        </w:rPr>
        <w:t>Project Title</w:t>
      </w:r>
      <w:r>
        <w:t>:</w:t>
      </w:r>
      <w:r w:rsidR="00CC7644">
        <w:t xml:space="preserve"> </w:t>
      </w:r>
      <w:r w:rsidR="001B718D" w:rsidRPr="001B718D">
        <w:t>Preventing online radicalization and enhancing community security to mitigate socio-economic impact of COVID-19 in Jordan</w:t>
      </w:r>
    </w:p>
    <w:p w14:paraId="65CD17D5" w14:textId="77777777" w:rsidR="003731DF" w:rsidRDefault="003731DF" w:rsidP="00337A1D">
      <w:pPr>
        <w:rPr>
          <w:b/>
        </w:rPr>
      </w:pPr>
      <w:r w:rsidRPr="00326679">
        <w:rPr>
          <w:b/>
        </w:rPr>
        <w:t>Project</w:t>
      </w:r>
      <w:r>
        <w:rPr>
          <w:b/>
        </w:rPr>
        <w:t xml:space="preserve"> Number</w:t>
      </w:r>
      <w:r w:rsidRPr="00326679">
        <w:rPr>
          <w:b/>
        </w:rPr>
        <w:t>:</w:t>
      </w:r>
      <w:r w:rsidR="00CC7644">
        <w:rPr>
          <w:b/>
        </w:rPr>
        <w:t xml:space="preserve"> </w:t>
      </w:r>
    </w:p>
    <w:p w14:paraId="08184649" w14:textId="77777777" w:rsidR="000776E9" w:rsidRPr="00273548" w:rsidRDefault="000776E9" w:rsidP="00337A1D">
      <w:pPr>
        <w:rPr>
          <w:rFonts w:eastAsia="Yu Mincho"/>
          <w:b/>
          <w:lang w:eastAsia="ja-JP"/>
        </w:rPr>
      </w:pPr>
      <w:r w:rsidRPr="001112A4">
        <w:rPr>
          <w:b/>
        </w:rPr>
        <w:t>Implementing Partner:</w:t>
      </w:r>
      <w:r w:rsidR="000868AE">
        <w:rPr>
          <w:b/>
        </w:rPr>
        <w:t xml:space="preserve"> </w:t>
      </w:r>
      <w:r w:rsidR="00455B09">
        <w:rPr>
          <w:bCs/>
        </w:rPr>
        <w:t>Office of the Prime Minister (PVE Unit)</w:t>
      </w:r>
      <w:r w:rsidR="00306FDE">
        <w:rPr>
          <w:bCs/>
        </w:rPr>
        <w:t>, Public Security Directorate</w:t>
      </w:r>
    </w:p>
    <w:p w14:paraId="264D1452" w14:textId="77777777" w:rsidR="00FA4BF8" w:rsidRDefault="00FA4BF8" w:rsidP="00337A1D">
      <w:r w:rsidRPr="00326679">
        <w:rPr>
          <w:b/>
        </w:rPr>
        <w:t>Start Date:</w:t>
      </w:r>
      <w:r w:rsidR="00CC7644">
        <w:rPr>
          <w:b/>
        </w:rPr>
        <w:t xml:space="preserve"> </w:t>
      </w:r>
      <w:r w:rsidR="00CC7644" w:rsidRPr="00CC7644">
        <w:rPr>
          <w:bCs/>
        </w:rPr>
        <w:t>March 20</w:t>
      </w:r>
      <w:r w:rsidR="00560CC5">
        <w:rPr>
          <w:bCs/>
        </w:rPr>
        <w:t>2</w:t>
      </w:r>
      <w:r w:rsidR="001B718D">
        <w:rPr>
          <w:bCs/>
        </w:rPr>
        <w:t>1</w:t>
      </w:r>
      <w:r w:rsidR="00CC7644">
        <w:tab/>
      </w:r>
      <w:r w:rsidRPr="00326679">
        <w:rPr>
          <w:b/>
        </w:rPr>
        <w:t>End Date:</w:t>
      </w:r>
      <w:r>
        <w:t xml:space="preserve"> </w:t>
      </w:r>
      <w:r w:rsidR="00CC7644">
        <w:t>March 202</w:t>
      </w:r>
      <w:r w:rsidR="001B718D">
        <w:t>2</w:t>
      </w:r>
      <w:r>
        <w:tab/>
      </w:r>
      <w:r w:rsidRPr="00326679">
        <w:rPr>
          <w:b/>
        </w:rPr>
        <w:t>PAC Meeting date:</w:t>
      </w:r>
      <w:r>
        <w:t xml:space="preserve"> </w:t>
      </w:r>
      <w:r>
        <w:tab/>
      </w:r>
    </w:p>
    <w:p w14:paraId="7611514C" w14:textId="77777777" w:rsidR="000776E9" w:rsidRDefault="000776E9" w:rsidP="000776E9">
      <w:pPr>
        <w:spacing w:after="0"/>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14:paraId="7B2883DD" w14:textId="77777777" w:rsidTr="7DF5A6EA">
        <w:trPr>
          <w:trHeight w:val="361"/>
        </w:trPr>
        <w:tc>
          <w:tcPr>
            <w:tcW w:w="9740" w:type="dxa"/>
            <w:shd w:val="clear" w:color="auto" w:fill="auto"/>
            <w:vAlign w:val="center"/>
          </w:tcPr>
          <w:p w14:paraId="1168C3B4" w14:textId="77777777" w:rsidR="000776E9" w:rsidRPr="000776E9" w:rsidRDefault="000776E9" w:rsidP="00337A1D">
            <w:pPr>
              <w:spacing w:after="0"/>
              <w:jc w:val="center"/>
              <w:rPr>
                <w:b/>
              </w:rPr>
            </w:pPr>
            <w:r w:rsidRPr="000776E9">
              <w:rPr>
                <w:b/>
              </w:rPr>
              <w:t>Brief Description</w:t>
            </w:r>
          </w:p>
        </w:tc>
      </w:tr>
      <w:tr w:rsidR="00AD6966" w14:paraId="7CFCFEAD" w14:textId="77777777" w:rsidTr="7DF5A6EA">
        <w:trPr>
          <w:trHeight w:val="4319"/>
        </w:trPr>
        <w:tc>
          <w:tcPr>
            <w:tcW w:w="9740" w:type="dxa"/>
            <w:shd w:val="clear" w:color="auto" w:fill="auto"/>
          </w:tcPr>
          <w:p w14:paraId="5C57AD52" w14:textId="0912D0B5" w:rsidR="002016CF" w:rsidRDefault="11FE04F1" w:rsidP="007E3801">
            <w:r>
              <w:t xml:space="preserve">This project seeks to </w:t>
            </w:r>
            <w:r w:rsidR="00FA66B5">
              <w:t xml:space="preserve">build </w:t>
            </w:r>
            <w:r w:rsidR="00444AE5">
              <w:t xml:space="preserve">community </w:t>
            </w:r>
            <w:r w:rsidR="00FA66B5">
              <w:t xml:space="preserve">resilience and </w:t>
            </w:r>
            <w:r w:rsidR="001329C2">
              <w:t xml:space="preserve">to </w:t>
            </w:r>
            <w:r>
              <w:t xml:space="preserve">promote citizen’s engagement and civil society’s response capacity to crisis while strengthening the linkage </w:t>
            </w:r>
            <w:r w:rsidR="001329C2">
              <w:t xml:space="preserve">within communities and </w:t>
            </w:r>
            <w:r>
              <w:t xml:space="preserve">between citizens and the government. UNDP aims at enhancing community resilience and security by monitoring risks to trace oscillations in vulnerabilities, </w:t>
            </w:r>
            <w:r w:rsidR="001329C2">
              <w:t xml:space="preserve">building </w:t>
            </w:r>
            <w:r>
              <w:t>a COVID-19 community initiatives repository, and establishing a conflict resolution mechanism at local level. Also, by ensuring that vulnerable young men and women and communities are the center of proposed interventions/activities, the project hopes to define Jordan’s vulnerabilities while tackling the social impact of COVID-19. This project is envisaged to improve social cohesion, community security, digital literacy, and livelihoods of vulnerable communit</w:t>
            </w:r>
            <w:r w:rsidR="001329C2">
              <w:t xml:space="preserve">y members in Jordan, including refuges, gender base violence survivors, people with disabilities, </w:t>
            </w:r>
            <w:r>
              <w:t>while building digital literacy and trust in local government institutions. In parallel, the overall goal of this project is to mitigate the risk of radical movements and promoting social stabilization through a comprehensive and people-centered approach. COVID-19 rapidly changed people’s online habits, increasing significantly the usage of digital platforms for work, school and leisure. This social change increased the exposure to radical content and disinformation which accentuates people’s vulnerabilities. Thus, this project will enhance online security features to promote digital safety by reducing the risk of online recruitment of violent extremists and addressing digital literacy to combat radicalization.</w:t>
            </w:r>
          </w:p>
          <w:p w14:paraId="2AA0FC54" w14:textId="34064C65" w:rsidR="000776E9" w:rsidRDefault="756B039A" w:rsidP="007E3801">
            <w:r>
              <w:t xml:space="preserve">This project will directly contribute to SDG16: Peace, Justice and Strong Institutions; and indirectly contribute to SDG 5: Gender </w:t>
            </w:r>
            <w:r w:rsidR="571DD9D0">
              <w:t>Eq</w:t>
            </w:r>
            <w:r>
              <w:t>uality and SDG11: Sustainable Cities and Communities.</w:t>
            </w:r>
          </w:p>
        </w:tc>
      </w:tr>
    </w:tbl>
    <w:p w14:paraId="10C31CB9" w14:textId="671C63F6" w:rsidR="00AD6966" w:rsidRDefault="002A4135" w:rsidP="000776E9">
      <w:r>
        <w:rPr>
          <w:noProof/>
          <w:lang w:val="en-US"/>
        </w:rPr>
        <mc:AlternateContent>
          <mc:Choice Requires="wps">
            <w:drawing>
              <wp:anchor distT="0" distB="0" distL="114300" distR="114300" simplePos="0" relativeHeight="251660307" behindDoc="0" locked="0" layoutInCell="1" allowOverlap="1" wp14:anchorId="6F413D82" wp14:editId="48342D22">
                <wp:simplePos x="0" y="0"/>
                <wp:positionH relativeFrom="column">
                  <wp:posOffset>-33020</wp:posOffset>
                </wp:positionH>
                <wp:positionV relativeFrom="paragraph">
                  <wp:posOffset>196215</wp:posOffset>
                </wp:positionV>
                <wp:extent cx="3594100" cy="2406650"/>
                <wp:effectExtent l="0" t="0" r="25400" b="1270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406650"/>
                        </a:xfrm>
                        <a:prstGeom prst="rect">
                          <a:avLst/>
                        </a:prstGeom>
                        <a:solidFill>
                          <a:srgbClr val="FFFFFF"/>
                        </a:solidFill>
                        <a:ln w="9525">
                          <a:solidFill>
                            <a:srgbClr val="000000"/>
                          </a:solidFill>
                          <a:miter lim="800000"/>
                          <a:headEnd/>
                          <a:tailEnd/>
                        </a:ln>
                      </wps:spPr>
                      <wps:txbx>
                        <w:txbxContent>
                          <w:p w14:paraId="78F21CF2" w14:textId="1719D494" w:rsidR="00230A72" w:rsidRDefault="00230A72" w:rsidP="00C73993">
                            <w:pPr>
                              <w:jc w:val="left"/>
                              <w:rPr>
                                <w:sz w:val="20"/>
                                <w:szCs w:val="20"/>
                              </w:rPr>
                            </w:pPr>
                            <w:r w:rsidRPr="00C73993">
                              <w:rPr>
                                <w:sz w:val="20"/>
                                <w:szCs w:val="20"/>
                              </w:rPr>
                              <w:t>Contributing Ou</w:t>
                            </w:r>
                            <w:r w:rsidRPr="004C0271">
                              <w:rPr>
                                <w:sz w:val="20"/>
                                <w:szCs w:val="20"/>
                              </w:rPr>
                              <w:t>tco</w:t>
                            </w:r>
                            <w:r w:rsidRPr="006D5C5E">
                              <w:rPr>
                                <w:sz w:val="20"/>
                                <w:szCs w:val="20"/>
                              </w:rPr>
                              <w:t>me:</w:t>
                            </w:r>
                            <w:r>
                              <w:rPr>
                                <w:sz w:val="20"/>
                                <w:szCs w:val="20"/>
                              </w:rPr>
                              <w:t xml:space="preserve"> UNSDF/CPD</w:t>
                            </w:r>
                          </w:p>
                          <w:p w14:paraId="6C4DAA56" w14:textId="60C937E0" w:rsidR="00230A72" w:rsidRDefault="00230A72" w:rsidP="00C73993">
                            <w:pPr>
                              <w:jc w:val="left"/>
                              <w:rPr>
                                <w:sz w:val="20"/>
                                <w:szCs w:val="20"/>
                              </w:rPr>
                            </w:pPr>
                            <w:r>
                              <w:rPr>
                                <w:b/>
                                <w:bCs/>
                                <w:sz w:val="20"/>
                                <w:szCs w:val="20"/>
                              </w:rPr>
                              <w:t xml:space="preserve">UNSDF </w:t>
                            </w:r>
                            <w:r w:rsidRPr="0078241E">
                              <w:rPr>
                                <w:b/>
                                <w:bCs/>
                                <w:sz w:val="20"/>
                                <w:szCs w:val="20"/>
                              </w:rPr>
                              <w:t>Outcome 2</w:t>
                            </w:r>
                            <w:r>
                              <w:rPr>
                                <w:sz w:val="20"/>
                                <w:szCs w:val="20"/>
                              </w:rPr>
                              <w:t xml:space="preserve">: </w:t>
                            </w:r>
                            <w:r w:rsidRPr="0078241E">
                              <w:rPr>
                                <w:sz w:val="20"/>
                                <w:szCs w:val="20"/>
                              </w:rPr>
                              <w:t>People especially the most excluded and vulnerable proactively claim their rights and fulfil their responsibilities for improved human security and resilience</w:t>
                            </w:r>
                          </w:p>
                          <w:p w14:paraId="24EF9572" w14:textId="1DF1E33C" w:rsidR="00230A72" w:rsidRPr="006D5C5E" w:rsidRDefault="00230A72" w:rsidP="00C73993">
                            <w:pPr>
                              <w:jc w:val="left"/>
                              <w:rPr>
                                <w:sz w:val="20"/>
                                <w:szCs w:val="20"/>
                              </w:rPr>
                            </w:pPr>
                            <w:r>
                              <w:rPr>
                                <w:b/>
                                <w:bCs/>
                                <w:sz w:val="20"/>
                                <w:szCs w:val="20"/>
                              </w:rPr>
                              <w:t xml:space="preserve">UNSDF </w:t>
                            </w:r>
                            <w:r w:rsidRPr="0078241E">
                              <w:rPr>
                                <w:b/>
                                <w:bCs/>
                                <w:sz w:val="20"/>
                                <w:szCs w:val="20"/>
                              </w:rPr>
                              <w:t>Outcome 3</w:t>
                            </w:r>
                            <w:r>
                              <w:rPr>
                                <w:sz w:val="20"/>
                                <w:szCs w:val="20"/>
                              </w:rPr>
                              <w:t xml:space="preserve">: </w:t>
                            </w:r>
                            <w:r w:rsidRPr="0078241E">
                              <w:rPr>
                                <w:sz w:val="20"/>
                                <w:szCs w:val="20"/>
                              </w:rPr>
                              <w:t>Enhanced opportunities for inclusive engagement of people living in Jordan in social, economic and political spheres</w:t>
                            </w:r>
                          </w:p>
                          <w:p w14:paraId="07F58AD1" w14:textId="6CC35E46" w:rsidR="00230A72" w:rsidRDefault="00230A72" w:rsidP="00EF3A88">
                            <w:pPr>
                              <w:rPr>
                                <w:sz w:val="20"/>
                                <w:szCs w:val="20"/>
                              </w:rPr>
                            </w:pPr>
                            <w:r>
                              <w:rPr>
                                <w:sz w:val="20"/>
                                <w:szCs w:val="20"/>
                              </w:rPr>
                              <w:t xml:space="preserve">CPD Output 1.3: </w:t>
                            </w:r>
                            <w:r w:rsidRPr="0078241E">
                              <w:rPr>
                                <w:sz w:val="20"/>
                                <w:szCs w:val="20"/>
                              </w:rPr>
                              <w:t>National and civic capacities strengthened for social cohesion and prevention of violent extremism</w:t>
                            </w:r>
                          </w:p>
                          <w:p w14:paraId="35590567" w14:textId="581E400D" w:rsidR="00230A72" w:rsidRDefault="00230A72" w:rsidP="00EF3A88">
                            <w:pPr>
                              <w:rPr>
                                <w:sz w:val="20"/>
                                <w:szCs w:val="20"/>
                              </w:rPr>
                            </w:pPr>
                            <w:r>
                              <w:rPr>
                                <w:sz w:val="20"/>
                                <w:szCs w:val="20"/>
                              </w:rPr>
                              <w:t xml:space="preserve">CPD Output 2.1: </w:t>
                            </w:r>
                            <w:r w:rsidRPr="0078241E">
                              <w:rPr>
                                <w:sz w:val="20"/>
                                <w:szCs w:val="20"/>
                              </w:rPr>
                              <w:t>Employment opportunities and livelihoods strengthened, for stabilization, and return to sustainable development pathways</w:t>
                            </w:r>
                          </w:p>
                          <w:p w14:paraId="040EFF05" w14:textId="3CC109EF" w:rsidR="00230A72" w:rsidRDefault="00230A72" w:rsidP="00EF3A88">
                            <w:pPr>
                              <w:rPr>
                                <w:sz w:val="20"/>
                                <w:szCs w:val="20"/>
                              </w:rPr>
                            </w:pPr>
                          </w:p>
                          <w:p w14:paraId="54A6F189" w14:textId="2EC55D85" w:rsidR="00230A72" w:rsidRPr="00C73993" w:rsidRDefault="00230A72" w:rsidP="00EF3A88">
                            <w:pPr>
                              <w:rPr>
                                <w:sz w:val="20"/>
                                <w:szCs w:val="20"/>
                              </w:rPr>
                            </w:pPr>
                            <w:r>
                              <w:rPr>
                                <w:sz w:val="20"/>
                                <w:szCs w:val="20"/>
                              </w:rPr>
                              <w:t>Contributing Gender Marker: GEN1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13D82" id="_x0000_t202" coordsize="21600,21600" o:spt="202" path="m,l,21600r21600,l21600,xe">
                <v:stroke joinstyle="miter"/>
                <v:path gradientshapeok="t" o:connecttype="rect"/>
              </v:shapetype>
              <v:shape id="Text Box 48" o:spid="_x0000_s1026" type="#_x0000_t202" style="position:absolute;left:0;text-align:left;margin-left:-2.6pt;margin-top:15.45pt;width:283pt;height:189.5pt;z-index:251660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QgLAIAAFM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">
                <v:textbox>
                  <w:txbxContent>
                    <w:p w14:paraId="78F21CF2" w14:textId="1719D494" w:rsidR="00230A72" w:rsidRDefault="00230A72" w:rsidP="00C73993">
                      <w:pPr>
                        <w:jc w:val="left"/>
                        <w:rPr>
                          <w:sz w:val="20"/>
                          <w:szCs w:val="20"/>
                        </w:rPr>
                      </w:pPr>
                      <w:r w:rsidRPr="00C73993">
                        <w:rPr>
                          <w:sz w:val="20"/>
                          <w:szCs w:val="20"/>
                        </w:rPr>
                        <w:t>Contributing Ou</w:t>
                      </w:r>
                      <w:r w:rsidRPr="004C0271">
                        <w:rPr>
                          <w:sz w:val="20"/>
                          <w:szCs w:val="20"/>
                        </w:rPr>
                        <w:t>tco</w:t>
                      </w:r>
                      <w:r w:rsidRPr="006D5C5E">
                        <w:rPr>
                          <w:sz w:val="20"/>
                          <w:szCs w:val="20"/>
                        </w:rPr>
                        <w:t>me:</w:t>
                      </w:r>
                      <w:r>
                        <w:rPr>
                          <w:sz w:val="20"/>
                          <w:szCs w:val="20"/>
                        </w:rPr>
                        <w:t xml:space="preserve"> UNSDF/CPD</w:t>
                      </w:r>
                    </w:p>
                    <w:p w14:paraId="6C4DAA56" w14:textId="60C937E0" w:rsidR="00230A72" w:rsidRDefault="00230A72" w:rsidP="00C73993">
                      <w:pPr>
                        <w:jc w:val="left"/>
                        <w:rPr>
                          <w:sz w:val="20"/>
                          <w:szCs w:val="20"/>
                        </w:rPr>
                      </w:pPr>
                      <w:r>
                        <w:rPr>
                          <w:b/>
                          <w:bCs/>
                          <w:sz w:val="20"/>
                          <w:szCs w:val="20"/>
                        </w:rPr>
                        <w:t xml:space="preserve">UNSDF </w:t>
                      </w:r>
                      <w:r w:rsidRPr="0078241E">
                        <w:rPr>
                          <w:b/>
                          <w:bCs/>
                          <w:sz w:val="20"/>
                          <w:szCs w:val="20"/>
                        </w:rPr>
                        <w:t>Outcome 2</w:t>
                      </w:r>
                      <w:r>
                        <w:rPr>
                          <w:sz w:val="20"/>
                          <w:szCs w:val="20"/>
                        </w:rPr>
                        <w:t xml:space="preserve">: </w:t>
                      </w:r>
                      <w:r w:rsidRPr="0078241E">
                        <w:rPr>
                          <w:sz w:val="20"/>
                          <w:szCs w:val="20"/>
                        </w:rPr>
                        <w:t>People especially the most excluded and vulnerable proactively claim their rights and fulfil their responsibilities for improved human security and resilience</w:t>
                      </w:r>
                    </w:p>
                    <w:p w14:paraId="24EF9572" w14:textId="1DF1E33C" w:rsidR="00230A72" w:rsidRPr="006D5C5E" w:rsidRDefault="00230A72" w:rsidP="00C73993">
                      <w:pPr>
                        <w:jc w:val="left"/>
                        <w:rPr>
                          <w:sz w:val="20"/>
                          <w:szCs w:val="20"/>
                        </w:rPr>
                      </w:pPr>
                      <w:r>
                        <w:rPr>
                          <w:b/>
                          <w:bCs/>
                          <w:sz w:val="20"/>
                          <w:szCs w:val="20"/>
                        </w:rPr>
                        <w:t xml:space="preserve">UNSDF </w:t>
                      </w:r>
                      <w:r w:rsidRPr="0078241E">
                        <w:rPr>
                          <w:b/>
                          <w:bCs/>
                          <w:sz w:val="20"/>
                          <w:szCs w:val="20"/>
                        </w:rPr>
                        <w:t>Outcome 3</w:t>
                      </w:r>
                      <w:r>
                        <w:rPr>
                          <w:sz w:val="20"/>
                          <w:szCs w:val="20"/>
                        </w:rPr>
                        <w:t xml:space="preserve">: </w:t>
                      </w:r>
                      <w:r w:rsidRPr="0078241E">
                        <w:rPr>
                          <w:sz w:val="20"/>
                          <w:szCs w:val="20"/>
                        </w:rPr>
                        <w:t>Enhanced opportunities for inclusive engagement of people living in Jordan in social, economic and political spheres</w:t>
                      </w:r>
                    </w:p>
                    <w:p w14:paraId="07F58AD1" w14:textId="6CC35E46" w:rsidR="00230A72" w:rsidRDefault="00230A72" w:rsidP="00EF3A88">
                      <w:pPr>
                        <w:rPr>
                          <w:sz w:val="20"/>
                          <w:szCs w:val="20"/>
                        </w:rPr>
                      </w:pPr>
                      <w:r>
                        <w:rPr>
                          <w:sz w:val="20"/>
                          <w:szCs w:val="20"/>
                        </w:rPr>
                        <w:t xml:space="preserve">CPD Output 1.3: </w:t>
                      </w:r>
                      <w:r w:rsidRPr="0078241E">
                        <w:rPr>
                          <w:sz w:val="20"/>
                          <w:szCs w:val="20"/>
                        </w:rPr>
                        <w:t>National and civic capacities strengthened for social cohesion and prevention of violent extremism</w:t>
                      </w:r>
                    </w:p>
                    <w:p w14:paraId="35590567" w14:textId="581E400D" w:rsidR="00230A72" w:rsidRDefault="00230A72" w:rsidP="00EF3A88">
                      <w:pPr>
                        <w:rPr>
                          <w:sz w:val="20"/>
                          <w:szCs w:val="20"/>
                        </w:rPr>
                      </w:pPr>
                      <w:r>
                        <w:rPr>
                          <w:sz w:val="20"/>
                          <w:szCs w:val="20"/>
                        </w:rPr>
                        <w:t xml:space="preserve">CPD Output 2.1: </w:t>
                      </w:r>
                      <w:r w:rsidRPr="0078241E">
                        <w:rPr>
                          <w:sz w:val="20"/>
                          <w:szCs w:val="20"/>
                        </w:rPr>
                        <w:t>Employment opportunities and livelihoods strengthened, for stabilization, and return to sustainable development pathways</w:t>
                      </w:r>
                    </w:p>
                    <w:p w14:paraId="040EFF05" w14:textId="3CC109EF" w:rsidR="00230A72" w:rsidRDefault="00230A72" w:rsidP="00EF3A88">
                      <w:pPr>
                        <w:rPr>
                          <w:sz w:val="20"/>
                          <w:szCs w:val="20"/>
                        </w:rPr>
                      </w:pPr>
                    </w:p>
                    <w:p w14:paraId="54A6F189" w14:textId="2EC55D85" w:rsidR="00230A72" w:rsidRPr="00C73993" w:rsidRDefault="00230A72" w:rsidP="00EF3A88">
                      <w:pPr>
                        <w:rPr>
                          <w:sz w:val="20"/>
                          <w:szCs w:val="20"/>
                        </w:rPr>
                      </w:pPr>
                      <w:r>
                        <w:rPr>
                          <w:sz w:val="20"/>
                          <w:szCs w:val="20"/>
                        </w:rPr>
                        <w:t>Contributing Gender Marker: GEN1</w:t>
                      </w:r>
                    </w:p>
                  </w:txbxContent>
                </v:textbox>
              </v:shape>
            </w:pict>
          </mc:Fallback>
        </mc:AlternateContent>
      </w:r>
      <w:r w:rsidR="000776E9">
        <w:tab/>
      </w:r>
      <w:r w:rsidR="000776E9">
        <w:rPr>
          <w:b/>
        </w:rPr>
        <w:tab/>
      </w:r>
    </w:p>
    <w:tbl>
      <w:tblPr>
        <w:tblW w:w="37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461"/>
        <w:gridCol w:w="1195"/>
      </w:tblGrid>
      <w:tr w:rsidR="00AD6966" w:rsidRPr="00D460CE" w14:paraId="71077051" w14:textId="77777777" w:rsidTr="0078241E">
        <w:trPr>
          <w:jc w:val="right"/>
        </w:trPr>
        <w:tc>
          <w:tcPr>
            <w:tcW w:w="978" w:type="dxa"/>
            <w:shd w:val="clear" w:color="auto" w:fill="auto"/>
          </w:tcPr>
          <w:p w14:paraId="2831B203" w14:textId="77777777" w:rsidR="000776E9" w:rsidRPr="003069DF" w:rsidRDefault="000776E9" w:rsidP="002678BD">
            <w:pPr>
              <w:spacing w:before="60"/>
              <w:jc w:val="left"/>
              <w:rPr>
                <w:b/>
                <w:sz w:val="20"/>
                <w:szCs w:val="20"/>
              </w:rPr>
            </w:pPr>
            <w:r w:rsidRPr="003069DF">
              <w:rPr>
                <w:b/>
                <w:sz w:val="20"/>
                <w:szCs w:val="20"/>
              </w:rPr>
              <w:t>Total resources required:</w:t>
            </w:r>
          </w:p>
        </w:tc>
        <w:tc>
          <w:tcPr>
            <w:tcW w:w="2797" w:type="dxa"/>
            <w:gridSpan w:val="2"/>
            <w:shd w:val="clear" w:color="auto" w:fill="auto"/>
            <w:vAlign w:val="center"/>
          </w:tcPr>
          <w:p w14:paraId="1586D789" w14:textId="77777777" w:rsidR="000776E9" w:rsidRPr="000A3870" w:rsidRDefault="000A3870" w:rsidP="003069DF">
            <w:pPr>
              <w:jc w:val="right"/>
              <w:rPr>
                <w:sz w:val="24"/>
              </w:rPr>
            </w:pPr>
            <w:r w:rsidRPr="000A3870">
              <w:rPr>
                <w:sz w:val="24"/>
              </w:rPr>
              <w:t>3</w:t>
            </w:r>
            <w:r w:rsidR="000868AE" w:rsidRPr="000A3870">
              <w:rPr>
                <w:sz w:val="24"/>
              </w:rPr>
              <w:t>,</w:t>
            </w:r>
            <w:r w:rsidR="00190A48">
              <w:rPr>
                <w:sz w:val="24"/>
              </w:rPr>
              <w:t>000</w:t>
            </w:r>
            <w:r w:rsidR="000868AE" w:rsidRPr="000A3870">
              <w:rPr>
                <w:sz w:val="24"/>
              </w:rPr>
              <w:t>,</w:t>
            </w:r>
            <w:r w:rsidR="00190A48">
              <w:rPr>
                <w:sz w:val="24"/>
              </w:rPr>
              <w:t>000</w:t>
            </w:r>
            <w:r w:rsidR="000868AE" w:rsidRPr="000A3870">
              <w:rPr>
                <w:sz w:val="24"/>
              </w:rPr>
              <w:t xml:space="preserve"> USD</w:t>
            </w:r>
          </w:p>
        </w:tc>
      </w:tr>
      <w:tr w:rsidR="00AD6966" w:rsidRPr="00D460CE" w14:paraId="4C62E922" w14:textId="77777777" w:rsidTr="0078241E">
        <w:trPr>
          <w:jc w:val="right"/>
        </w:trPr>
        <w:tc>
          <w:tcPr>
            <w:tcW w:w="978" w:type="dxa"/>
            <w:vMerge w:val="restart"/>
            <w:shd w:val="clear" w:color="auto" w:fill="auto"/>
          </w:tcPr>
          <w:p w14:paraId="456CD38E" w14:textId="77777777" w:rsidR="000776E9" w:rsidRPr="003069DF" w:rsidRDefault="000776E9" w:rsidP="002678BD">
            <w:pPr>
              <w:spacing w:before="60"/>
              <w:jc w:val="left"/>
              <w:rPr>
                <w:b/>
                <w:sz w:val="20"/>
                <w:szCs w:val="20"/>
              </w:rPr>
            </w:pPr>
            <w:r w:rsidRPr="003069DF">
              <w:rPr>
                <w:b/>
                <w:sz w:val="20"/>
                <w:szCs w:val="20"/>
              </w:rPr>
              <w:t>Total resources</w:t>
            </w:r>
            <w:r w:rsidR="00914264" w:rsidRPr="003069DF">
              <w:rPr>
                <w:b/>
                <w:sz w:val="20"/>
                <w:szCs w:val="20"/>
              </w:rPr>
              <w:t xml:space="preserve"> allocated</w:t>
            </w:r>
            <w:r w:rsidRPr="003069DF">
              <w:rPr>
                <w:b/>
                <w:sz w:val="20"/>
                <w:szCs w:val="20"/>
              </w:rPr>
              <w:t>:</w:t>
            </w:r>
          </w:p>
        </w:tc>
        <w:tc>
          <w:tcPr>
            <w:tcW w:w="2797" w:type="dxa"/>
            <w:gridSpan w:val="2"/>
            <w:shd w:val="clear" w:color="auto" w:fill="auto"/>
            <w:vAlign w:val="center"/>
          </w:tcPr>
          <w:p w14:paraId="7AFCB970" w14:textId="77777777" w:rsidR="000776E9" w:rsidRPr="00D460CE" w:rsidRDefault="000776E9" w:rsidP="003069DF">
            <w:pPr>
              <w:jc w:val="right"/>
            </w:pPr>
          </w:p>
        </w:tc>
      </w:tr>
      <w:tr w:rsidR="004D4E35" w:rsidRPr="00D460CE" w14:paraId="3A5BE91C" w14:textId="77777777" w:rsidTr="0078241E">
        <w:trPr>
          <w:jc w:val="right"/>
        </w:trPr>
        <w:tc>
          <w:tcPr>
            <w:tcW w:w="978" w:type="dxa"/>
            <w:vMerge/>
            <w:shd w:val="clear" w:color="auto" w:fill="auto"/>
          </w:tcPr>
          <w:p w14:paraId="0996A97A" w14:textId="77777777" w:rsidR="004D4E35" w:rsidRPr="003069DF" w:rsidRDefault="004D4E35" w:rsidP="00870978">
            <w:pPr>
              <w:rPr>
                <w:sz w:val="20"/>
                <w:szCs w:val="20"/>
              </w:rPr>
            </w:pPr>
          </w:p>
        </w:tc>
        <w:tc>
          <w:tcPr>
            <w:tcW w:w="1461" w:type="dxa"/>
            <w:shd w:val="clear" w:color="auto" w:fill="auto"/>
            <w:vAlign w:val="center"/>
          </w:tcPr>
          <w:p w14:paraId="73F064EA" w14:textId="77777777" w:rsidR="004D4E35" w:rsidRPr="00914264" w:rsidRDefault="004D4E35" w:rsidP="003069DF">
            <w:pPr>
              <w:spacing w:after="0"/>
              <w:jc w:val="right"/>
              <w:rPr>
                <w:b/>
                <w:sz w:val="20"/>
                <w:szCs w:val="20"/>
              </w:rPr>
            </w:pPr>
            <w:r>
              <w:rPr>
                <w:b/>
                <w:sz w:val="20"/>
                <w:szCs w:val="20"/>
              </w:rPr>
              <w:t>UNDP TRAC:</w:t>
            </w:r>
          </w:p>
        </w:tc>
        <w:tc>
          <w:tcPr>
            <w:tcW w:w="1336" w:type="dxa"/>
            <w:shd w:val="clear" w:color="auto" w:fill="auto"/>
            <w:vAlign w:val="center"/>
          </w:tcPr>
          <w:p w14:paraId="685C5CAB" w14:textId="77777777" w:rsidR="004D4E35" w:rsidRPr="00D460CE" w:rsidRDefault="004D4E35" w:rsidP="003069DF">
            <w:pPr>
              <w:spacing w:after="0"/>
              <w:jc w:val="center"/>
            </w:pPr>
          </w:p>
        </w:tc>
      </w:tr>
      <w:tr w:rsidR="004D4E35" w:rsidRPr="00D460CE" w14:paraId="1F073BFB" w14:textId="77777777" w:rsidTr="0078241E">
        <w:trPr>
          <w:jc w:val="right"/>
        </w:trPr>
        <w:tc>
          <w:tcPr>
            <w:tcW w:w="978" w:type="dxa"/>
            <w:vMerge/>
            <w:shd w:val="clear" w:color="auto" w:fill="auto"/>
          </w:tcPr>
          <w:p w14:paraId="730A9A9B" w14:textId="77777777" w:rsidR="004D4E35" w:rsidRPr="003069DF" w:rsidRDefault="004D4E35" w:rsidP="007C5423">
            <w:pPr>
              <w:rPr>
                <w:sz w:val="20"/>
                <w:szCs w:val="20"/>
              </w:rPr>
            </w:pPr>
          </w:p>
        </w:tc>
        <w:tc>
          <w:tcPr>
            <w:tcW w:w="1461" w:type="dxa"/>
            <w:shd w:val="clear" w:color="auto" w:fill="auto"/>
            <w:vAlign w:val="center"/>
          </w:tcPr>
          <w:p w14:paraId="78DA186D" w14:textId="48792A6F" w:rsidR="004D4E35" w:rsidRPr="00914264" w:rsidRDefault="004D4E35" w:rsidP="003069DF">
            <w:pPr>
              <w:spacing w:after="0"/>
              <w:jc w:val="right"/>
              <w:rPr>
                <w:b/>
                <w:sz w:val="20"/>
                <w:szCs w:val="20"/>
              </w:rPr>
            </w:pPr>
            <w:r w:rsidRPr="00914264">
              <w:rPr>
                <w:b/>
                <w:sz w:val="20"/>
                <w:szCs w:val="20"/>
              </w:rPr>
              <w:t>Donor</w:t>
            </w:r>
            <w:r w:rsidR="00F36A6B">
              <w:rPr>
                <w:b/>
                <w:sz w:val="20"/>
                <w:szCs w:val="20"/>
              </w:rPr>
              <w:t xml:space="preserve"> (Japan)</w:t>
            </w:r>
            <w:r w:rsidRPr="00914264">
              <w:rPr>
                <w:b/>
                <w:sz w:val="20"/>
                <w:szCs w:val="20"/>
              </w:rPr>
              <w:t>:</w:t>
            </w:r>
          </w:p>
        </w:tc>
        <w:tc>
          <w:tcPr>
            <w:tcW w:w="1336" w:type="dxa"/>
            <w:shd w:val="clear" w:color="auto" w:fill="auto"/>
            <w:vAlign w:val="center"/>
          </w:tcPr>
          <w:p w14:paraId="61E811FF" w14:textId="77777777" w:rsidR="004D4E35" w:rsidRPr="00D460CE" w:rsidRDefault="00F36A6B" w:rsidP="003069DF">
            <w:pPr>
              <w:spacing w:after="0"/>
              <w:jc w:val="center"/>
            </w:pPr>
            <w:r>
              <w:t>3,000,000 USD</w:t>
            </w:r>
          </w:p>
        </w:tc>
      </w:tr>
      <w:tr w:rsidR="004D4E35" w:rsidRPr="00D460CE" w14:paraId="36ABA1CB" w14:textId="77777777" w:rsidTr="0078241E">
        <w:trPr>
          <w:jc w:val="right"/>
        </w:trPr>
        <w:tc>
          <w:tcPr>
            <w:tcW w:w="978" w:type="dxa"/>
            <w:vMerge/>
            <w:shd w:val="clear" w:color="auto" w:fill="auto"/>
          </w:tcPr>
          <w:p w14:paraId="7394C593" w14:textId="77777777" w:rsidR="004D4E35" w:rsidRPr="003069DF" w:rsidRDefault="004D4E35" w:rsidP="007C5423">
            <w:pPr>
              <w:rPr>
                <w:sz w:val="20"/>
                <w:szCs w:val="20"/>
              </w:rPr>
            </w:pPr>
          </w:p>
        </w:tc>
        <w:tc>
          <w:tcPr>
            <w:tcW w:w="1461" w:type="dxa"/>
            <w:shd w:val="clear" w:color="auto" w:fill="auto"/>
            <w:vAlign w:val="center"/>
          </w:tcPr>
          <w:p w14:paraId="2D6C9DDA" w14:textId="77777777" w:rsidR="004D4E35" w:rsidRPr="00914264" w:rsidRDefault="004D4E35" w:rsidP="003069DF">
            <w:pPr>
              <w:spacing w:after="0"/>
              <w:jc w:val="right"/>
              <w:rPr>
                <w:b/>
                <w:sz w:val="20"/>
                <w:szCs w:val="20"/>
              </w:rPr>
            </w:pPr>
            <w:r w:rsidRPr="00914264">
              <w:rPr>
                <w:b/>
                <w:sz w:val="20"/>
                <w:szCs w:val="20"/>
              </w:rPr>
              <w:t>Government:</w:t>
            </w:r>
          </w:p>
        </w:tc>
        <w:tc>
          <w:tcPr>
            <w:tcW w:w="1336" w:type="dxa"/>
            <w:shd w:val="clear" w:color="auto" w:fill="auto"/>
            <w:vAlign w:val="center"/>
          </w:tcPr>
          <w:p w14:paraId="3AF07B01" w14:textId="77777777" w:rsidR="004D4E35" w:rsidRPr="00D460CE" w:rsidRDefault="004D4E35" w:rsidP="003069DF">
            <w:pPr>
              <w:spacing w:after="0"/>
              <w:jc w:val="center"/>
            </w:pPr>
          </w:p>
        </w:tc>
      </w:tr>
      <w:tr w:rsidR="004D4E35" w:rsidRPr="00D460CE" w14:paraId="140B6CD8" w14:textId="77777777" w:rsidTr="0078241E">
        <w:trPr>
          <w:trHeight w:val="314"/>
          <w:jc w:val="right"/>
        </w:trPr>
        <w:tc>
          <w:tcPr>
            <w:tcW w:w="978" w:type="dxa"/>
            <w:vMerge/>
            <w:shd w:val="clear" w:color="auto" w:fill="auto"/>
          </w:tcPr>
          <w:p w14:paraId="716AA6B6" w14:textId="77777777" w:rsidR="004D4E35" w:rsidRPr="003069DF" w:rsidRDefault="004D4E35" w:rsidP="007C5423">
            <w:pPr>
              <w:rPr>
                <w:sz w:val="20"/>
                <w:szCs w:val="20"/>
              </w:rPr>
            </w:pPr>
          </w:p>
        </w:tc>
        <w:tc>
          <w:tcPr>
            <w:tcW w:w="1461" w:type="dxa"/>
            <w:shd w:val="clear" w:color="auto" w:fill="auto"/>
            <w:vAlign w:val="center"/>
          </w:tcPr>
          <w:p w14:paraId="238A7646" w14:textId="77777777" w:rsidR="004D4E35" w:rsidRPr="00914264" w:rsidRDefault="004D4E35" w:rsidP="003069DF">
            <w:pPr>
              <w:spacing w:after="0"/>
              <w:jc w:val="right"/>
              <w:rPr>
                <w:b/>
                <w:sz w:val="20"/>
                <w:szCs w:val="20"/>
              </w:rPr>
            </w:pPr>
            <w:r w:rsidRPr="00914264">
              <w:rPr>
                <w:b/>
                <w:sz w:val="20"/>
                <w:szCs w:val="20"/>
              </w:rPr>
              <w:t>In-Kind:</w:t>
            </w:r>
          </w:p>
        </w:tc>
        <w:tc>
          <w:tcPr>
            <w:tcW w:w="1336" w:type="dxa"/>
            <w:shd w:val="clear" w:color="auto" w:fill="auto"/>
            <w:vAlign w:val="center"/>
          </w:tcPr>
          <w:p w14:paraId="11E83379" w14:textId="77777777" w:rsidR="004D4E35" w:rsidRPr="00D460CE" w:rsidRDefault="004D4E35" w:rsidP="003069DF">
            <w:pPr>
              <w:spacing w:after="0"/>
              <w:jc w:val="center"/>
            </w:pPr>
          </w:p>
        </w:tc>
      </w:tr>
      <w:tr w:rsidR="003069DF" w:rsidRPr="00D460CE" w14:paraId="50625E2C" w14:textId="77777777" w:rsidTr="0078241E">
        <w:trPr>
          <w:trHeight w:val="314"/>
          <w:jc w:val="right"/>
        </w:trPr>
        <w:tc>
          <w:tcPr>
            <w:tcW w:w="978" w:type="dxa"/>
            <w:shd w:val="clear" w:color="auto" w:fill="auto"/>
            <w:vAlign w:val="center"/>
          </w:tcPr>
          <w:p w14:paraId="155B63AD" w14:textId="77777777" w:rsidR="003069DF" w:rsidRPr="003069DF" w:rsidRDefault="003069DF" w:rsidP="003069DF">
            <w:pPr>
              <w:spacing w:after="0"/>
              <w:jc w:val="left"/>
              <w:rPr>
                <w:sz w:val="20"/>
                <w:szCs w:val="20"/>
              </w:rPr>
            </w:pPr>
            <w:r w:rsidRPr="003069DF">
              <w:rPr>
                <w:b/>
                <w:sz w:val="20"/>
                <w:szCs w:val="20"/>
              </w:rPr>
              <w:t>Unfunded:</w:t>
            </w:r>
          </w:p>
        </w:tc>
        <w:tc>
          <w:tcPr>
            <w:tcW w:w="2797" w:type="dxa"/>
            <w:gridSpan w:val="2"/>
            <w:shd w:val="clear" w:color="auto" w:fill="auto"/>
            <w:vAlign w:val="center"/>
          </w:tcPr>
          <w:p w14:paraId="6E0BA914" w14:textId="77777777" w:rsidR="003069DF" w:rsidRPr="003069DF" w:rsidRDefault="003069DF" w:rsidP="003069DF">
            <w:pPr>
              <w:spacing w:after="0"/>
              <w:jc w:val="right"/>
              <w:rPr>
                <w:sz w:val="20"/>
                <w:szCs w:val="20"/>
              </w:rPr>
            </w:pPr>
          </w:p>
        </w:tc>
      </w:tr>
    </w:tbl>
    <w:p w14:paraId="68C3AC34" w14:textId="77777777" w:rsidR="00901C7D" w:rsidRDefault="00901C7D" w:rsidP="000776E9">
      <w:pPr>
        <w:spacing w:after="0"/>
      </w:pPr>
    </w:p>
    <w:p w14:paraId="1F35A1DC" w14:textId="77777777" w:rsidR="0078241E" w:rsidRDefault="0078241E" w:rsidP="00766B89">
      <w:pPr>
        <w:tabs>
          <w:tab w:val="left" w:pos="960"/>
        </w:tabs>
        <w:spacing w:before="120" w:after="0"/>
      </w:pPr>
    </w:p>
    <w:p w14:paraId="7E017533" w14:textId="77777777" w:rsidR="0078241E" w:rsidRDefault="0078241E" w:rsidP="00766B89">
      <w:pPr>
        <w:tabs>
          <w:tab w:val="left" w:pos="960"/>
        </w:tabs>
        <w:spacing w:before="120" w:after="0"/>
      </w:pPr>
    </w:p>
    <w:p w14:paraId="35B22826" w14:textId="678F42C5" w:rsidR="00901C7D" w:rsidRDefault="00901C7D" w:rsidP="00766B89">
      <w:pPr>
        <w:tabs>
          <w:tab w:val="left" w:pos="960"/>
        </w:tabs>
        <w:spacing w:before="120" w:after="0"/>
      </w:pPr>
      <w:r>
        <w:t>Agreed by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14:paraId="2EFF8DE6" w14:textId="77777777" w:rsidTr="00666B7D">
        <w:tc>
          <w:tcPr>
            <w:tcW w:w="3272" w:type="dxa"/>
            <w:shd w:val="clear" w:color="auto" w:fill="auto"/>
          </w:tcPr>
          <w:p w14:paraId="0EBB0ACE" w14:textId="77777777" w:rsidR="00901C7D" w:rsidRDefault="00901C7D" w:rsidP="00666B7D">
            <w:pPr>
              <w:spacing w:after="0"/>
              <w:jc w:val="center"/>
            </w:pPr>
            <w:r>
              <w:t>Government</w:t>
            </w:r>
          </w:p>
        </w:tc>
        <w:tc>
          <w:tcPr>
            <w:tcW w:w="3273" w:type="dxa"/>
            <w:shd w:val="clear" w:color="auto" w:fill="auto"/>
          </w:tcPr>
          <w:p w14:paraId="389A41E0" w14:textId="77777777" w:rsidR="00901C7D" w:rsidRDefault="00901C7D" w:rsidP="00666B7D">
            <w:pPr>
              <w:spacing w:after="0"/>
              <w:jc w:val="center"/>
            </w:pPr>
            <w:r>
              <w:t>UNDP</w:t>
            </w:r>
          </w:p>
        </w:tc>
        <w:tc>
          <w:tcPr>
            <w:tcW w:w="3273" w:type="dxa"/>
            <w:shd w:val="clear" w:color="auto" w:fill="auto"/>
          </w:tcPr>
          <w:p w14:paraId="10DDFB54" w14:textId="77777777" w:rsidR="00901C7D" w:rsidRDefault="00901C7D" w:rsidP="00666B7D">
            <w:pPr>
              <w:spacing w:after="0"/>
              <w:jc w:val="center"/>
            </w:pPr>
            <w:r>
              <w:t>Implementing Partner</w:t>
            </w:r>
          </w:p>
        </w:tc>
      </w:tr>
      <w:tr w:rsidR="00901C7D" w14:paraId="311A464C" w14:textId="77777777" w:rsidTr="00071471">
        <w:trPr>
          <w:trHeight w:val="720"/>
        </w:trPr>
        <w:tc>
          <w:tcPr>
            <w:tcW w:w="3272" w:type="dxa"/>
            <w:shd w:val="clear" w:color="auto" w:fill="auto"/>
          </w:tcPr>
          <w:p w14:paraId="1CF375DE" w14:textId="77777777" w:rsidR="00901C7D" w:rsidRPr="00666B7D" w:rsidRDefault="00901C7D" w:rsidP="003C0FEB">
            <w:pPr>
              <w:spacing w:after="0"/>
              <w:jc w:val="left"/>
              <w:rPr>
                <w:sz w:val="20"/>
                <w:szCs w:val="20"/>
              </w:rPr>
            </w:pPr>
          </w:p>
          <w:p w14:paraId="42FD79CC" w14:textId="77777777" w:rsidR="007D05FC" w:rsidRPr="00666B7D" w:rsidRDefault="007D05FC" w:rsidP="003C0FEB">
            <w:pPr>
              <w:spacing w:after="0"/>
              <w:jc w:val="left"/>
              <w:rPr>
                <w:sz w:val="20"/>
                <w:szCs w:val="20"/>
              </w:rPr>
            </w:pPr>
          </w:p>
          <w:p w14:paraId="11367123" w14:textId="77777777" w:rsidR="007D05FC" w:rsidRPr="00666B7D" w:rsidRDefault="007D05FC" w:rsidP="003C0FEB">
            <w:pPr>
              <w:spacing w:after="0"/>
              <w:jc w:val="left"/>
              <w:rPr>
                <w:sz w:val="20"/>
                <w:szCs w:val="20"/>
              </w:rPr>
            </w:pPr>
          </w:p>
          <w:p w14:paraId="709F0003" w14:textId="77777777" w:rsidR="007D05FC" w:rsidRPr="00666B7D" w:rsidRDefault="007D05FC" w:rsidP="003C0FEB">
            <w:pPr>
              <w:spacing w:after="0"/>
              <w:jc w:val="left"/>
              <w:rPr>
                <w:sz w:val="20"/>
                <w:szCs w:val="20"/>
              </w:rPr>
            </w:pPr>
          </w:p>
          <w:p w14:paraId="1ED06B0D" w14:textId="77777777"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14:paraId="3CA7A438" w14:textId="77777777" w:rsidR="00901C7D" w:rsidRPr="00666B7D" w:rsidRDefault="00901C7D" w:rsidP="003C0FEB">
            <w:pPr>
              <w:spacing w:after="0"/>
              <w:jc w:val="left"/>
              <w:rPr>
                <w:sz w:val="20"/>
                <w:szCs w:val="20"/>
              </w:rPr>
            </w:pPr>
          </w:p>
          <w:p w14:paraId="0653D1AA" w14:textId="77777777" w:rsidR="007D05FC" w:rsidRPr="00666B7D" w:rsidRDefault="007D05FC" w:rsidP="003C0FEB">
            <w:pPr>
              <w:spacing w:after="0"/>
              <w:jc w:val="left"/>
              <w:rPr>
                <w:sz w:val="20"/>
                <w:szCs w:val="20"/>
              </w:rPr>
            </w:pPr>
          </w:p>
          <w:p w14:paraId="589F07A6" w14:textId="77777777" w:rsidR="007D05FC" w:rsidRPr="00666B7D" w:rsidRDefault="007D05FC" w:rsidP="003C0FEB">
            <w:pPr>
              <w:spacing w:after="0"/>
              <w:jc w:val="left"/>
              <w:rPr>
                <w:sz w:val="20"/>
                <w:szCs w:val="20"/>
              </w:rPr>
            </w:pPr>
          </w:p>
          <w:p w14:paraId="67F5618A" w14:textId="77777777" w:rsidR="007D05FC" w:rsidRPr="00666B7D" w:rsidRDefault="007D05FC" w:rsidP="003C0FEB">
            <w:pPr>
              <w:spacing w:after="0"/>
              <w:jc w:val="left"/>
              <w:rPr>
                <w:sz w:val="20"/>
                <w:szCs w:val="20"/>
              </w:rPr>
            </w:pPr>
          </w:p>
          <w:p w14:paraId="4BABDD19" w14:textId="77777777" w:rsidR="007D05FC" w:rsidRPr="00666B7D" w:rsidRDefault="007D05FC" w:rsidP="003C0FEB">
            <w:pPr>
              <w:spacing w:after="0"/>
              <w:jc w:val="left"/>
              <w:rPr>
                <w:sz w:val="20"/>
                <w:szCs w:val="20"/>
              </w:rPr>
            </w:pPr>
            <w:r w:rsidRPr="00666B7D">
              <w:rPr>
                <w:sz w:val="20"/>
                <w:szCs w:val="20"/>
              </w:rPr>
              <w:t>Print Name:</w:t>
            </w:r>
          </w:p>
        </w:tc>
        <w:tc>
          <w:tcPr>
            <w:tcW w:w="3273" w:type="dxa"/>
            <w:shd w:val="clear" w:color="auto" w:fill="auto"/>
          </w:tcPr>
          <w:p w14:paraId="1B4DEC7D" w14:textId="77777777" w:rsidR="007D05FC" w:rsidRPr="00666B7D" w:rsidRDefault="007D05FC" w:rsidP="003C0FEB">
            <w:pPr>
              <w:spacing w:after="0"/>
              <w:jc w:val="left"/>
              <w:rPr>
                <w:sz w:val="20"/>
                <w:szCs w:val="20"/>
              </w:rPr>
            </w:pPr>
          </w:p>
          <w:p w14:paraId="17763A2D" w14:textId="77777777" w:rsidR="007D05FC" w:rsidRPr="00666B7D" w:rsidRDefault="007D05FC" w:rsidP="003C0FEB">
            <w:pPr>
              <w:spacing w:after="0"/>
              <w:jc w:val="left"/>
              <w:rPr>
                <w:sz w:val="20"/>
                <w:szCs w:val="20"/>
              </w:rPr>
            </w:pPr>
          </w:p>
          <w:p w14:paraId="2DA27DC1" w14:textId="77777777" w:rsidR="007D05FC" w:rsidRPr="00666B7D" w:rsidRDefault="007D05FC" w:rsidP="003C0FEB">
            <w:pPr>
              <w:spacing w:after="0"/>
              <w:jc w:val="left"/>
              <w:rPr>
                <w:sz w:val="20"/>
                <w:szCs w:val="20"/>
              </w:rPr>
            </w:pPr>
          </w:p>
          <w:p w14:paraId="4DBF31CD" w14:textId="77777777" w:rsidR="007D05FC" w:rsidRPr="00666B7D" w:rsidRDefault="007D05FC" w:rsidP="003C0FEB">
            <w:pPr>
              <w:spacing w:after="0"/>
              <w:jc w:val="left"/>
              <w:rPr>
                <w:sz w:val="20"/>
                <w:szCs w:val="20"/>
              </w:rPr>
            </w:pPr>
          </w:p>
          <w:p w14:paraId="3AE65366" w14:textId="77777777" w:rsidR="007D05FC" w:rsidRPr="00666B7D" w:rsidRDefault="007D05FC" w:rsidP="003C0FEB">
            <w:pPr>
              <w:spacing w:after="0"/>
              <w:jc w:val="left"/>
              <w:rPr>
                <w:sz w:val="20"/>
                <w:szCs w:val="20"/>
              </w:rPr>
            </w:pPr>
            <w:r w:rsidRPr="00666B7D">
              <w:rPr>
                <w:sz w:val="20"/>
                <w:szCs w:val="20"/>
              </w:rPr>
              <w:t>Print Name:</w:t>
            </w:r>
          </w:p>
        </w:tc>
      </w:tr>
      <w:tr w:rsidR="00901C7D" w14:paraId="337D63F2" w14:textId="77777777" w:rsidTr="00071471">
        <w:trPr>
          <w:trHeight w:val="50"/>
        </w:trPr>
        <w:tc>
          <w:tcPr>
            <w:tcW w:w="3272" w:type="dxa"/>
            <w:shd w:val="clear" w:color="auto" w:fill="auto"/>
          </w:tcPr>
          <w:p w14:paraId="5807AE12" w14:textId="77777777" w:rsidR="00901C7D" w:rsidRDefault="00901C7D" w:rsidP="00666B7D">
            <w:pPr>
              <w:spacing w:after="0"/>
              <w:jc w:val="left"/>
            </w:pPr>
            <w:r>
              <w:t xml:space="preserve">Date: </w:t>
            </w:r>
          </w:p>
        </w:tc>
        <w:tc>
          <w:tcPr>
            <w:tcW w:w="3273" w:type="dxa"/>
            <w:shd w:val="clear" w:color="auto" w:fill="auto"/>
          </w:tcPr>
          <w:p w14:paraId="39ADC7EC" w14:textId="77777777" w:rsidR="00901C7D" w:rsidRDefault="00901C7D" w:rsidP="00666B7D">
            <w:pPr>
              <w:spacing w:after="0"/>
              <w:jc w:val="left"/>
            </w:pPr>
            <w:r>
              <w:t xml:space="preserve">Date: </w:t>
            </w:r>
          </w:p>
        </w:tc>
        <w:tc>
          <w:tcPr>
            <w:tcW w:w="3273" w:type="dxa"/>
            <w:shd w:val="clear" w:color="auto" w:fill="auto"/>
          </w:tcPr>
          <w:p w14:paraId="5ADB8B57" w14:textId="77777777" w:rsidR="00901C7D" w:rsidRDefault="00901C7D" w:rsidP="00666B7D">
            <w:pPr>
              <w:spacing w:after="0"/>
              <w:jc w:val="left"/>
            </w:pPr>
            <w:r>
              <w:t>Date:</w:t>
            </w:r>
          </w:p>
        </w:tc>
      </w:tr>
    </w:tbl>
    <w:p w14:paraId="6C6FFE7F" w14:textId="77777777" w:rsidR="008F1069" w:rsidRPr="008C1450" w:rsidRDefault="009B63D7" w:rsidP="00331810">
      <w:pPr>
        <w:pStyle w:val="Heading1"/>
        <w:numPr>
          <w:ilvl w:val="0"/>
          <w:numId w:val="2"/>
        </w:numPr>
      </w:pPr>
      <w:r>
        <w:br w:type="page"/>
      </w:r>
      <w:r w:rsidR="006D58B9" w:rsidRPr="008C1450">
        <w:lastRenderedPageBreak/>
        <w:t xml:space="preserve">Development </w:t>
      </w:r>
      <w:r w:rsidR="0038628D" w:rsidRPr="008C1450">
        <w:t>Challenge</w:t>
      </w:r>
      <w:r w:rsidR="00BC3596" w:rsidRPr="008C1450">
        <w:t xml:space="preserve"> </w:t>
      </w:r>
    </w:p>
    <w:p w14:paraId="1F834832" w14:textId="77777777" w:rsidR="005E39DC" w:rsidRPr="00210C3B" w:rsidRDefault="005E39DC" w:rsidP="005E39DC">
      <w:pPr>
        <w:widowControl w:val="0"/>
        <w:numPr>
          <w:ilvl w:val="0"/>
          <w:numId w:val="25"/>
        </w:numPr>
        <w:ind w:left="360"/>
        <w:rPr>
          <w:b/>
        </w:rPr>
      </w:pPr>
      <w:r w:rsidRPr="00210C3B">
        <w:rPr>
          <w:b/>
        </w:rPr>
        <w:t>Development Challenge</w:t>
      </w:r>
    </w:p>
    <w:p w14:paraId="0A757BF6" w14:textId="77777777" w:rsidR="005E39DC" w:rsidRDefault="005E39DC" w:rsidP="00F11E89">
      <w:pPr>
        <w:widowControl w:val="0"/>
        <w:rPr>
          <w:bCs/>
        </w:rPr>
      </w:pPr>
    </w:p>
    <w:p w14:paraId="58213F04" w14:textId="4B4944A2" w:rsidR="00040699" w:rsidRDefault="7B3059E2" w:rsidP="00040699">
      <w:pPr>
        <w:jc w:val="lowKashida"/>
      </w:pPr>
      <w:r w:rsidRPr="7DF5A6EA">
        <w:t xml:space="preserve">The Hashemite Kingdom of Jordan is an upper middle-income country with a population of </w:t>
      </w:r>
      <w:r w:rsidR="3D0D492E" w:rsidRPr="7DF5A6EA">
        <w:t>10 million</w:t>
      </w:r>
      <w:r w:rsidR="00B26E01" w:rsidRPr="7DF5A6EA">
        <w:rPr>
          <w:vertAlign w:val="superscript"/>
        </w:rPr>
        <w:footnoteReference w:id="2"/>
      </w:r>
      <w:r w:rsidR="3D0D492E" w:rsidRPr="7DF5A6EA">
        <w:t xml:space="preserve"> and y</w:t>
      </w:r>
      <w:r w:rsidR="47A59BBE" w:rsidRPr="7DF5A6EA">
        <w:t>oung people within the age group of 18 – 30 represent approximately 21% of the total population</w:t>
      </w:r>
      <w:r w:rsidR="00040699" w:rsidRPr="7DF5A6EA">
        <w:rPr>
          <w:vertAlign w:val="superscript"/>
        </w:rPr>
        <w:footnoteReference w:id="3"/>
      </w:r>
      <w:r w:rsidR="47A59BBE" w:rsidRPr="00D72E5C">
        <w:rPr>
          <w:bCs/>
        </w:rPr>
        <w:t xml:space="preserve">. </w:t>
      </w:r>
      <w:r w:rsidR="6D7456FD" w:rsidRPr="7DF5A6EA">
        <w:t>Unemployment rate of youth (age group of 15 – 24) is 35.6% while that of women is much higher than that of men (57% and 31.5%</w:t>
      </w:r>
      <w:r w:rsidR="35F7F85A">
        <w:rPr>
          <w:bCs/>
        </w:rPr>
        <w:t>;</w:t>
      </w:r>
      <w:r w:rsidR="6D7456FD" w:rsidRPr="7DF5A6EA">
        <w:t xml:space="preserve"> respectively)</w:t>
      </w:r>
      <w:r w:rsidR="00766A2B" w:rsidRPr="7DF5A6EA">
        <w:rPr>
          <w:rStyle w:val="FootnoteReference"/>
        </w:rPr>
        <w:footnoteReference w:id="4"/>
      </w:r>
      <w:r w:rsidR="6D7456FD">
        <w:rPr>
          <w:bCs/>
        </w:rPr>
        <w:t xml:space="preserve">. </w:t>
      </w:r>
      <w:r w:rsidR="47A59BBE" w:rsidRPr="7DF5A6EA">
        <w:t>Most of Jordan's youth</w:t>
      </w:r>
      <w:r w:rsidR="00DE1467">
        <w:t xml:space="preserve"> and refugees</w:t>
      </w:r>
      <w:r w:rsidR="00BF572C">
        <w:t xml:space="preserve"> (</w:t>
      </w:r>
      <w:r w:rsidR="00BF572C" w:rsidRPr="00BF572C">
        <w:t>84%</w:t>
      </w:r>
      <w:r w:rsidR="00BF572C">
        <w:t>)</w:t>
      </w:r>
      <w:r w:rsidR="00DE1467">
        <w:t xml:space="preserve"> </w:t>
      </w:r>
      <w:r w:rsidR="47A59BBE" w:rsidRPr="7DF5A6EA">
        <w:t>live in cities and urban settings whereas</w:t>
      </w:r>
      <w:r w:rsidR="47A59BBE" w:rsidRPr="00D72E5C">
        <w:rPr>
          <w:bCs/>
        </w:rPr>
        <w:t xml:space="preserve"> </w:t>
      </w:r>
      <w:r w:rsidR="47A59BBE" w:rsidRPr="7DF5A6EA">
        <w:t xml:space="preserve">an estimated 16% </w:t>
      </w:r>
      <w:r w:rsidR="00BF572C">
        <w:t xml:space="preserve">youth </w:t>
      </w:r>
      <w:r w:rsidR="47A59BBE" w:rsidRPr="7DF5A6EA">
        <w:t>live in rural areas and in refugee camps</w:t>
      </w:r>
      <w:r w:rsidR="00040699" w:rsidRPr="7DF5A6EA">
        <w:rPr>
          <w:vertAlign w:val="superscript"/>
        </w:rPr>
        <w:footnoteReference w:id="5"/>
      </w:r>
      <w:r w:rsidR="47A59BBE" w:rsidRPr="00D72E5C">
        <w:rPr>
          <w:bCs/>
        </w:rPr>
        <w:t xml:space="preserve">. </w:t>
      </w:r>
      <w:r w:rsidR="5334FA75" w:rsidRPr="7DF5A6EA">
        <w:t xml:space="preserve">About 12% of the households are </w:t>
      </w:r>
      <w:r w:rsidR="004C377B">
        <w:t>female</w:t>
      </w:r>
      <w:r w:rsidR="5334FA75" w:rsidRPr="7DF5A6EA">
        <w:t>-headed in the Kingdom.</w:t>
      </w:r>
      <w:r w:rsidR="00874AB3" w:rsidRPr="7DF5A6EA">
        <w:rPr>
          <w:rStyle w:val="FootnoteReference"/>
        </w:rPr>
        <w:footnoteReference w:id="6"/>
      </w:r>
      <w:r w:rsidR="00DE1467">
        <w:t xml:space="preserve"> </w:t>
      </w:r>
      <w:r w:rsidR="00906997">
        <w:t>The targeted SDGs will address r</w:t>
      </w:r>
      <w:r w:rsidR="00DE1467">
        <w:t>ising unemployment 23.9%</w:t>
      </w:r>
      <w:r w:rsidR="001C55E4">
        <w:t>,</w:t>
      </w:r>
      <w:r w:rsidR="00DE1467">
        <w:t xml:space="preserve"> increasing inequalities and poverty pressures</w:t>
      </w:r>
      <w:r w:rsidR="00906997">
        <w:t>,</w:t>
      </w:r>
      <w:r w:rsidR="00DE1467">
        <w:t xml:space="preserve"> where 1.5</w:t>
      </w:r>
      <w:r w:rsidR="00900E32">
        <w:t xml:space="preserve"> million</w:t>
      </w:r>
      <w:r w:rsidR="00DE1467">
        <w:t xml:space="preserve"> Jordanians are expected to fall under poverty due to the </w:t>
      </w:r>
      <w:r w:rsidR="00754A08">
        <w:t>compounding effect</w:t>
      </w:r>
      <w:r w:rsidR="00DE1467">
        <w:t xml:space="preserve"> of COVID</w:t>
      </w:r>
      <w:r w:rsidR="00754A08">
        <w:t>-</w:t>
      </w:r>
      <w:r w:rsidR="00DE1467">
        <w:t>19 impact, reginal instability and economic recession. The SDG</w:t>
      </w:r>
      <w:r w:rsidR="00906997">
        <w:t>s</w:t>
      </w:r>
      <w:r w:rsidR="00DE1467">
        <w:t xml:space="preserve"> </w:t>
      </w:r>
      <w:r w:rsidR="00906997">
        <w:t xml:space="preserve">being advanced </w:t>
      </w:r>
      <w:r w:rsidR="00DE1467">
        <w:t>will be SDG1 (Zero Poverty), SDG8 (Decent Work &amp; Economic Growth), SDG10 (</w:t>
      </w:r>
      <w:r w:rsidR="00906997">
        <w:t>R</w:t>
      </w:r>
      <w:r w:rsidR="00DE1467">
        <w:t xml:space="preserve">educe </w:t>
      </w:r>
      <w:r w:rsidR="00906997">
        <w:t>I</w:t>
      </w:r>
      <w:r w:rsidR="001C55E4">
        <w:t>nequalities</w:t>
      </w:r>
      <w:r w:rsidR="00DE1467">
        <w:t xml:space="preserve">) and SDG 16 (Peace, Justice and Strong </w:t>
      </w:r>
      <w:r w:rsidR="001C55E4">
        <w:t>Initiations</w:t>
      </w:r>
      <w:r w:rsidR="00DE1467">
        <w:t>)</w:t>
      </w:r>
      <w:r w:rsidR="001C55E4">
        <w:t xml:space="preserve"> for advancing human</w:t>
      </w:r>
      <w:r w:rsidR="00906997">
        <w:t>-</w:t>
      </w:r>
      <w:r w:rsidR="001C55E4">
        <w:t>security centric development.</w:t>
      </w:r>
    </w:p>
    <w:p w14:paraId="0E7B7491" w14:textId="77777777" w:rsidR="00B26E01" w:rsidRDefault="00B26E01" w:rsidP="00040699">
      <w:pPr>
        <w:jc w:val="lowKashida"/>
        <w:rPr>
          <w:bCs/>
        </w:rPr>
      </w:pPr>
    </w:p>
    <w:p w14:paraId="5E94D195" w14:textId="77777777" w:rsidR="005371D6" w:rsidRDefault="3D0D492E" w:rsidP="00906997">
      <w:r>
        <w:t xml:space="preserve">The absolute poverty rate in Jordan for all the population stood at 14.4% in 2010, </w:t>
      </w:r>
      <w:r w:rsidR="00754A08" w:rsidRPr="00754A08">
        <w:t xml:space="preserve">86% of registered </w:t>
      </w:r>
    </w:p>
    <w:p w14:paraId="12348BAE" w14:textId="7E094F3D" w:rsidR="007D3376" w:rsidRDefault="00754A08" w:rsidP="007D3376">
      <w:r w:rsidRPr="00754A08">
        <w:t>Syrian refugees live below Jordan</w:t>
      </w:r>
      <w:r w:rsidR="005371D6">
        <w:t>’</w:t>
      </w:r>
      <w:r w:rsidRPr="00754A08">
        <w:t>s poverty line</w:t>
      </w:r>
      <w:r>
        <w:rPr>
          <w:rStyle w:val="FootnoteReference"/>
        </w:rPr>
        <w:footnoteReference w:id="7"/>
      </w:r>
      <w:r>
        <w:t xml:space="preserve">, </w:t>
      </w:r>
      <w:r w:rsidR="3D0D492E">
        <w:t xml:space="preserve">which increased to 15.7% in 2018. This poverty rate is only for Jordanians, meaning that </w:t>
      </w:r>
      <w:r>
        <w:t xml:space="preserve">following the crises </w:t>
      </w:r>
      <w:r w:rsidR="3D0D492E">
        <w:t xml:space="preserve">more than </w:t>
      </w:r>
      <w:r w:rsidR="00900E32">
        <w:t>0</w:t>
      </w:r>
      <w:r w:rsidR="00906997">
        <w:t>.5</w:t>
      </w:r>
      <w:r w:rsidR="3D0D492E">
        <w:t xml:space="preserve"> million Jordanian live below the poverty line</w:t>
      </w:r>
      <w:r>
        <w:t xml:space="preserve"> and </w:t>
      </w:r>
      <w:r w:rsidRPr="00754A08">
        <w:t>86% of registered Syrian refugees live below Jordan</w:t>
      </w:r>
      <w:r w:rsidR="005371D6">
        <w:t>’</w:t>
      </w:r>
      <w:r w:rsidRPr="00754A08">
        <w:t>s poverty line</w:t>
      </w:r>
      <w:r w:rsidR="3D0D492E">
        <w:t>.</w:t>
      </w:r>
      <w:r w:rsidR="007D3376">
        <w:t xml:space="preserve"> Youth unemployment in Jordan reached 39.9</w:t>
      </w:r>
      <w:r w:rsidR="00E8530C">
        <w:t>%</w:t>
      </w:r>
      <w:r w:rsidR="007D3376">
        <w:t xml:space="preserve"> (more than 700,000 people) in 2019.</w:t>
      </w:r>
      <w:r w:rsidR="007D3376" w:rsidRPr="007D3376">
        <w:t xml:space="preserve"> </w:t>
      </w:r>
      <w:r w:rsidR="007D3376">
        <w:t>Moreover, according to the World Bank, only 5</w:t>
      </w:r>
      <w:r w:rsidR="00900E32">
        <w:t>%</w:t>
      </w:r>
      <w:r w:rsidR="007D3376">
        <w:t xml:space="preserve"> of registered Syrian refugee women work while half of registered Syrian refugee men</w:t>
      </w:r>
      <w:r w:rsidR="00E8530C">
        <w:t xml:space="preserve"> do</w:t>
      </w:r>
      <w:r w:rsidR="007D3376">
        <w:t>.</w:t>
      </w:r>
    </w:p>
    <w:p w14:paraId="375F02C1" w14:textId="77777777" w:rsidR="00900E32" w:rsidRDefault="00900E32" w:rsidP="007D3376"/>
    <w:p w14:paraId="2B511683" w14:textId="015970CB" w:rsidR="00900E32" w:rsidRDefault="3D0D492E" w:rsidP="00906997">
      <w:r>
        <w:t xml:space="preserve">There are two major programmes in Jordan to provide support to poor segments of society; the National Aid Fund (NAF) and Zakat fund. Nearly half of the Jordanian households earning less than USD 10,500 per year are not receiving any assistance, only 7% of the households earning less than USD 3,500 per year are receiving NAF assistance and 1% from Zakat Fund. </w:t>
      </w:r>
      <w:r w:rsidR="00754A08">
        <w:t>According to the</w:t>
      </w:r>
      <w:r w:rsidR="00E8530C">
        <w:t xml:space="preserve"> World Bank</w:t>
      </w:r>
      <w:r w:rsidR="00DC7FCC">
        <w:t>,</w:t>
      </w:r>
      <w:r w:rsidR="00754A08">
        <w:rPr>
          <w:rStyle w:val="FootnoteReference"/>
        </w:rPr>
        <w:footnoteReference w:id="8"/>
      </w:r>
      <w:r w:rsidR="00754A08">
        <w:t xml:space="preserve"> t</w:t>
      </w:r>
      <w:r w:rsidR="00906997">
        <w:t>he COVID-19 crisis is estimated to have increased poverty by around 38 percentage points (p.p.) among Jordanians, and by 18 p.p. among Syrian refugees, noting that the majority of refugees were already living below the poverty line before the pandemic.</w:t>
      </w:r>
    </w:p>
    <w:p w14:paraId="313398AC" w14:textId="4BCA4F4D" w:rsidR="00B26E01" w:rsidRDefault="00B26E01" w:rsidP="00906997"/>
    <w:p w14:paraId="0C8E4069" w14:textId="77777777" w:rsidR="006B1CC1" w:rsidRDefault="3D0D492E" w:rsidP="00906997">
      <w:pPr>
        <w:jc w:val="lowKashida"/>
      </w:pPr>
      <w:r w:rsidRPr="00906997">
        <w:t xml:space="preserve">Communities with low coverage of social services and high levels of vulnerability are particularly at-risk and suffer the most due to the impact of </w:t>
      </w:r>
      <w:r w:rsidR="63AC74D8" w:rsidRPr="00906997">
        <w:t xml:space="preserve">the </w:t>
      </w:r>
      <w:r w:rsidRPr="00906997">
        <w:t xml:space="preserve">COVID-19 crisis. It is expected that this crisis </w:t>
      </w:r>
      <w:r w:rsidR="40682B95" w:rsidRPr="00906997">
        <w:t xml:space="preserve">has </w:t>
      </w:r>
      <w:r w:rsidRPr="00906997">
        <w:t>affect</w:t>
      </w:r>
      <w:r w:rsidR="53D0EE9B" w:rsidRPr="00906997">
        <w:t>ed</w:t>
      </w:r>
      <w:r w:rsidRPr="00906997">
        <w:t xml:space="preserve"> mainly</w:t>
      </w:r>
      <w:r w:rsidR="57E9E8EE" w:rsidRPr="00906997">
        <w:t xml:space="preserve"> and severely</w:t>
      </w:r>
      <w:r w:rsidRPr="00906997">
        <w:t xml:space="preserve"> the segment of population </w:t>
      </w:r>
      <w:r w:rsidR="00FC4581" w:rsidRPr="00906997">
        <w:t>l</w:t>
      </w:r>
      <w:r w:rsidR="00FC4581">
        <w:t xml:space="preserve">iving </w:t>
      </w:r>
      <w:r>
        <w:t xml:space="preserve">below </w:t>
      </w:r>
      <w:r w:rsidR="00FC4581">
        <w:t xml:space="preserve">the </w:t>
      </w:r>
      <w:r>
        <w:t>poverty line, families relying on National Aid Fund and Zakat Fund support, girls and women, people living with disabilities, and communities in areas with poor access, especially refugees living in informal tented settlements within host communities, and the persons in Amman and Irbid. These communities face disruptions in the provisions of health, education and other social services delivery (including due to overburdening of local health systems), changes in care seeking behavior, impact on the local economy and livelihoods.</w:t>
      </w:r>
    </w:p>
    <w:p w14:paraId="4DF197C9" w14:textId="77777777" w:rsidR="006B1CC1" w:rsidRDefault="006B1CC1" w:rsidP="00906997">
      <w:pPr>
        <w:jc w:val="lowKashida"/>
      </w:pPr>
    </w:p>
    <w:p w14:paraId="14B6566B" w14:textId="5464A113" w:rsidR="00DC7FCC" w:rsidRDefault="00CD6392" w:rsidP="00B26E01">
      <w:pPr>
        <w:jc w:val="lowKashida"/>
        <w:rPr>
          <w:rFonts w:asciiTheme="minorBidi" w:hAnsiTheme="minorBidi" w:cstheme="minorBidi"/>
          <w:spacing w:val="-4"/>
          <w:szCs w:val="22"/>
          <w:lang w:val="en-US"/>
        </w:rPr>
      </w:pPr>
      <w:r>
        <w:t xml:space="preserve">Further, COVID-19 </w:t>
      </w:r>
      <w:r w:rsidR="006B1CC1">
        <w:t>exposed a serious digital divide among citizens in the Kingdom.</w:t>
      </w:r>
      <w:r>
        <w:t xml:space="preserve"> </w:t>
      </w:r>
      <w:r w:rsidRPr="007C1210">
        <w:rPr>
          <w:rFonts w:asciiTheme="minorBidi" w:eastAsia="Times New Roman" w:hAnsiTheme="minorBidi" w:cstheme="minorBidi"/>
          <w:szCs w:val="22"/>
          <w:shd w:val="clear" w:color="auto" w:fill="FFFFFF"/>
          <w:lang w:val="en-US"/>
        </w:rPr>
        <w:t>Digital technology is critical to almost every aspect of the response to the pandemic, from vaccine research to online learning models, e-commerce and tools that are enabling hundreds of millions of people to work and study from home.</w:t>
      </w:r>
      <w:r w:rsidR="006B1CC1">
        <w:rPr>
          <w:rFonts w:asciiTheme="minorBidi" w:eastAsia="Times New Roman" w:hAnsiTheme="minorBidi" w:cstheme="minorBidi"/>
          <w:szCs w:val="22"/>
          <w:shd w:val="clear" w:color="auto" w:fill="FFFFFF"/>
          <w:lang w:val="en-US"/>
        </w:rPr>
        <w:t xml:space="preserve"> </w:t>
      </w:r>
      <w:r w:rsidR="00815CBD">
        <w:rPr>
          <w:rFonts w:asciiTheme="minorBidi" w:eastAsia="Times New Roman" w:hAnsiTheme="minorBidi" w:cstheme="minorBidi"/>
          <w:szCs w:val="22"/>
          <w:shd w:val="clear" w:color="auto" w:fill="FFFFFF"/>
          <w:lang w:val="en-US"/>
        </w:rPr>
        <w:t>Worldwide, t</w:t>
      </w:r>
      <w:r w:rsidR="006B1CC1">
        <w:rPr>
          <w:rFonts w:asciiTheme="minorBidi" w:eastAsia="Times New Roman" w:hAnsiTheme="minorBidi" w:cstheme="minorBidi"/>
          <w:szCs w:val="22"/>
          <w:shd w:val="clear" w:color="auto" w:fill="FFFFFF"/>
          <w:lang w:val="en-US"/>
        </w:rPr>
        <w:t xml:space="preserve">here is a </w:t>
      </w:r>
      <w:r w:rsidR="006B1CC1">
        <w:rPr>
          <w:rFonts w:asciiTheme="minorBidi" w:hAnsiTheme="minorBidi" w:cstheme="minorBidi"/>
          <w:szCs w:val="22"/>
        </w:rPr>
        <w:t>digital gender divide where w</w:t>
      </w:r>
      <w:r w:rsidR="006B1CC1" w:rsidRPr="007C1210">
        <w:rPr>
          <w:rFonts w:asciiTheme="minorBidi" w:hAnsiTheme="minorBidi" w:cstheme="minorBidi"/>
          <w:szCs w:val="22"/>
        </w:rPr>
        <w:t>omen are still disadvantaged in their ability to access, use, and afford digital tools</w:t>
      </w:r>
      <w:r w:rsidR="00DC7FCC">
        <w:rPr>
          <w:rFonts w:asciiTheme="minorBidi" w:hAnsiTheme="minorBidi" w:cstheme="minorBidi"/>
          <w:szCs w:val="22"/>
        </w:rPr>
        <w:t>.</w:t>
      </w:r>
      <w:r w:rsidR="006B1CC1" w:rsidRPr="007C1210">
        <w:rPr>
          <w:rStyle w:val="FootnoteReference"/>
          <w:rFonts w:asciiTheme="minorBidi" w:hAnsiTheme="minorBidi" w:cstheme="minorBidi"/>
          <w:spacing w:val="-4"/>
          <w:sz w:val="22"/>
          <w:szCs w:val="22"/>
        </w:rPr>
        <w:footnoteReference w:id="9"/>
      </w:r>
      <w:r w:rsidR="006B1CC1" w:rsidRPr="007C1210">
        <w:rPr>
          <w:rFonts w:asciiTheme="minorBidi" w:hAnsiTheme="minorBidi" w:cstheme="minorBidi"/>
          <w:spacing w:val="-4"/>
          <w:szCs w:val="22"/>
        </w:rPr>
        <w:t xml:space="preserve"> </w:t>
      </w:r>
      <w:r w:rsidR="006B1CC1" w:rsidRPr="00341D9E">
        <w:rPr>
          <w:rFonts w:asciiTheme="minorBidi" w:hAnsiTheme="minorBidi" w:cstheme="minorBidi"/>
          <w:spacing w:val="-4"/>
          <w:szCs w:val="22"/>
        </w:rPr>
        <w:t>This while new</w:t>
      </w:r>
      <w:r w:rsidR="006B1CC1" w:rsidRPr="007C1210">
        <w:rPr>
          <w:rFonts w:asciiTheme="minorBidi" w:hAnsiTheme="minorBidi" w:cstheme="minorBidi"/>
          <w:szCs w:val="22"/>
          <w:lang w:val="en-US" w:eastAsia="ja-JP"/>
        </w:rPr>
        <w:t xml:space="preserve"> evidence depicts </w:t>
      </w:r>
      <w:r w:rsidR="006B1CC1" w:rsidRPr="007C1210">
        <w:rPr>
          <w:rFonts w:asciiTheme="minorBidi" w:hAnsiTheme="minorBidi" w:cstheme="minorBidi"/>
          <w:szCs w:val="22"/>
          <w:lang w:val="en-US" w:eastAsia="ja-JP"/>
        </w:rPr>
        <w:lastRenderedPageBreak/>
        <w:t xml:space="preserve">that internet </w:t>
      </w:r>
      <w:r w:rsidR="00DC7FCC">
        <w:rPr>
          <w:rFonts w:asciiTheme="minorBidi" w:hAnsiTheme="minorBidi" w:cstheme="minorBidi"/>
          <w:szCs w:val="22"/>
          <w:lang w:val="en-US" w:eastAsia="ja-JP"/>
        </w:rPr>
        <w:t>use</w:t>
      </w:r>
      <w:r w:rsidR="00DC7FCC" w:rsidRPr="007C1210">
        <w:rPr>
          <w:rFonts w:asciiTheme="minorBidi" w:hAnsiTheme="minorBidi" w:cstheme="minorBidi"/>
          <w:szCs w:val="22"/>
          <w:lang w:val="en-US" w:eastAsia="ja-JP"/>
        </w:rPr>
        <w:t xml:space="preserve"> </w:t>
      </w:r>
      <w:r w:rsidR="006B1CC1" w:rsidRPr="007C1210">
        <w:rPr>
          <w:rFonts w:asciiTheme="minorBidi" w:hAnsiTheme="minorBidi" w:cstheme="minorBidi"/>
          <w:szCs w:val="22"/>
          <w:lang w:val="en-US" w:eastAsia="ja-JP"/>
        </w:rPr>
        <w:t>increases female labor force participation and reduces gender gaps</w:t>
      </w:r>
      <w:r w:rsidR="00DC7FCC">
        <w:rPr>
          <w:rFonts w:asciiTheme="minorBidi" w:hAnsiTheme="minorBidi" w:cstheme="minorBidi"/>
          <w:szCs w:val="22"/>
          <w:lang w:val="en-US" w:eastAsia="ja-JP"/>
        </w:rPr>
        <w:t>.</w:t>
      </w:r>
      <w:r w:rsidR="006B1CC1" w:rsidRPr="007C1210">
        <w:rPr>
          <w:rStyle w:val="FootnoteReference"/>
          <w:rFonts w:asciiTheme="minorBidi" w:hAnsiTheme="minorBidi" w:cstheme="minorBidi"/>
          <w:sz w:val="22"/>
          <w:szCs w:val="22"/>
          <w:lang w:val="en-US" w:eastAsia="ja-JP"/>
        </w:rPr>
        <w:footnoteReference w:id="10"/>
      </w:r>
      <w:r w:rsidR="006B1CC1" w:rsidRPr="007C1210">
        <w:rPr>
          <w:rFonts w:asciiTheme="minorBidi" w:hAnsiTheme="minorBidi" w:cstheme="minorBidi"/>
          <w:szCs w:val="22"/>
          <w:lang w:val="en-US" w:eastAsia="ja-JP"/>
        </w:rPr>
        <w:t xml:space="preserve"> This is particularly im</w:t>
      </w:r>
      <w:r w:rsidR="006B1CC1">
        <w:rPr>
          <w:rFonts w:asciiTheme="minorBidi" w:hAnsiTheme="minorBidi" w:cstheme="minorBidi"/>
          <w:szCs w:val="22"/>
          <w:lang w:val="en-US" w:eastAsia="ja-JP"/>
        </w:rPr>
        <w:t>portant</w:t>
      </w:r>
      <w:r w:rsidR="006B1CC1" w:rsidRPr="007C1210">
        <w:rPr>
          <w:rFonts w:asciiTheme="minorBidi" w:hAnsiTheme="minorBidi" w:cstheme="minorBidi"/>
          <w:szCs w:val="22"/>
          <w:lang w:val="en-US" w:eastAsia="ja-JP"/>
        </w:rPr>
        <w:t xml:space="preserve"> in the Jordan</w:t>
      </w:r>
      <w:r w:rsidR="006B1CC1">
        <w:rPr>
          <w:rFonts w:asciiTheme="minorBidi" w:hAnsiTheme="minorBidi" w:cstheme="minorBidi"/>
          <w:szCs w:val="22"/>
          <w:lang w:val="en-US" w:eastAsia="ja-JP"/>
        </w:rPr>
        <w:t>ian context</w:t>
      </w:r>
      <w:r w:rsidR="006B1CC1" w:rsidRPr="007C1210">
        <w:rPr>
          <w:rFonts w:asciiTheme="minorBidi" w:hAnsiTheme="minorBidi" w:cstheme="minorBidi"/>
          <w:szCs w:val="22"/>
          <w:lang w:val="en-US" w:eastAsia="ja-JP"/>
        </w:rPr>
        <w:t xml:space="preserve">, where women’s labor force participation is one of the lowest in the world. </w:t>
      </w:r>
      <w:r w:rsidR="00875BDB">
        <w:rPr>
          <w:rFonts w:asciiTheme="minorBidi" w:hAnsiTheme="minorBidi" w:cstheme="minorBidi"/>
          <w:szCs w:val="22"/>
          <w:lang w:val="en-US" w:eastAsia="ja-JP"/>
        </w:rPr>
        <w:t xml:space="preserve">By </w:t>
      </w:r>
      <w:r w:rsidR="00DC7FCC">
        <w:rPr>
          <w:rFonts w:asciiTheme="minorBidi" w:hAnsiTheme="minorBidi" w:cstheme="minorBidi"/>
          <w:szCs w:val="22"/>
          <w:lang w:val="en-US" w:eastAsia="ja-JP"/>
        </w:rPr>
        <w:t xml:space="preserve">promoting women’s digital access, it is envisaged that </w:t>
      </w:r>
      <w:r w:rsidR="006B1CC1" w:rsidRPr="007C1210">
        <w:rPr>
          <w:rFonts w:asciiTheme="minorBidi" w:hAnsiTheme="minorBidi" w:cstheme="minorBidi"/>
          <w:szCs w:val="22"/>
          <w:lang w:val="en-US" w:eastAsia="ja-JP"/>
        </w:rPr>
        <w:t>women</w:t>
      </w:r>
      <w:r w:rsidR="00DC7FCC">
        <w:rPr>
          <w:rFonts w:asciiTheme="minorBidi" w:hAnsiTheme="minorBidi" w:cstheme="minorBidi"/>
          <w:szCs w:val="22"/>
          <w:lang w:val="en-US" w:eastAsia="ja-JP"/>
        </w:rPr>
        <w:t xml:space="preserve"> will have more chance to participate in the labor market, which will improve their </w:t>
      </w:r>
      <w:r w:rsidR="006B1CC1" w:rsidRPr="007C1210">
        <w:rPr>
          <w:rFonts w:asciiTheme="minorBidi" w:hAnsiTheme="minorBidi" w:cstheme="minorBidi"/>
          <w:szCs w:val="22"/>
          <w:lang w:val="en-US" w:eastAsia="ja-JP"/>
        </w:rPr>
        <w:t>empowerment within the household.</w:t>
      </w:r>
      <w:r w:rsidR="006B1CC1" w:rsidRPr="00341D9E">
        <w:rPr>
          <w:rFonts w:asciiTheme="minorBidi" w:hAnsiTheme="minorBidi" w:cstheme="minorBidi"/>
          <w:spacing w:val="-4"/>
          <w:szCs w:val="22"/>
          <w:lang w:val="en-US"/>
        </w:rPr>
        <w:t xml:space="preserve"> </w:t>
      </w:r>
      <w:r w:rsidR="00DC7FCC">
        <w:rPr>
          <w:rFonts w:asciiTheme="minorBidi" w:hAnsiTheme="minorBidi" w:cstheme="minorBidi"/>
          <w:spacing w:val="-4"/>
          <w:szCs w:val="22"/>
          <w:lang w:val="en-US"/>
        </w:rPr>
        <w:t>This</w:t>
      </w:r>
      <w:r w:rsidR="006B1CC1" w:rsidRPr="00341D9E">
        <w:rPr>
          <w:rFonts w:asciiTheme="minorBidi" w:hAnsiTheme="minorBidi" w:cstheme="minorBidi"/>
          <w:spacing w:val="-4"/>
          <w:szCs w:val="22"/>
          <w:lang w:val="en-US"/>
        </w:rPr>
        <w:t xml:space="preserve"> is important considering violence against women and girls has increased since the outbreak of COVID-19</w:t>
      </w:r>
      <w:r w:rsidR="00DC7FCC">
        <w:rPr>
          <w:rFonts w:asciiTheme="minorBidi" w:hAnsiTheme="minorBidi" w:cstheme="minorBidi"/>
          <w:spacing w:val="-4"/>
          <w:szCs w:val="22"/>
          <w:lang w:val="en-US"/>
        </w:rPr>
        <w:t>.</w:t>
      </w:r>
      <w:r w:rsidR="006B1CC1" w:rsidRPr="007C1210">
        <w:rPr>
          <w:rStyle w:val="FootnoteReference"/>
          <w:rFonts w:asciiTheme="minorBidi" w:hAnsiTheme="minorBidi" w:cstheme="minorBidi"/>
          <w:spacing w:val="-4"/>
          <w:sz w:val="22"/>
          <w:szCs w:val="22"/>
          <w:lang w:val="en-US"/>
        </w:rPr>
        <w:footnoteReference w:id="11"/>
      </w:r>
    </w:p>
    <w:p w14:paraId="7F71D000" w14:textId="1833C26C" w:rsidR="00B26E01" w:rsidRPr="00B26E01" w:rsidRDefault="00B26E01" w:rsidP="00B26E01">
      <w:pPr>
        <w:jc w:val="lowKashida"/>
        <w:rPr>
          <w:bCs/>
        </w:rPr>
      </w:pPr>
      <w:r w:rsidRPr="00B26E01">
        <w:rPr>
          <w:bCs/>
        </w:rPr>
        <w:t xml:space="preserve"> </w:t>
      </w:r>
    </w:p>
    <w:p w14:paraId="5C63606D" w14:textId="1C9B64D1" w:rsidR="00EE01D6" w:rsidRDefault="00337722" w:rsidP="00900E32">
      <w:pPr>
        <w:spacing w:after="0"/>
      </w:pPr>
      <w:r>
        <w:t>Economic and social exclusion and relative deprivation may act as significant contextual drivers for violent extremism. As youth feel marginalized, powerless and disenfranchised they may be drawn to violence and radicalization. Providing tangible and equal opportunities for social and economic integration may play an important role in preventing radicalization, promoting cohesion and enhancing livelihoods among marginalized communities.</w:t>
      </w:r>
      <w:r w:rsidR="00900E32">
        <w:t xml:space="preserve"> </w:t>
      </w:r>
      <w:r w:rsidR="00EE01D6" w:rsidRPr="00F842B8">
        <w:t xml:space="preserve">Through responding to people’s immediate </w:t>
      </w:r>
      <w:r w:rsidR="00EE01D6">
        <w:t xml:space="preserve">economic </w:t>
      </w:r>
      <w:r w:rsidR="00EE01D6" w:rsidRPr="00F842B8">
        <w:t xml:space="preserve">needs, and providing them with opportunities to improve their livelihoods, they will be empowered to make </w:t>
      </w:r>
      <w:r w:rsidR="00EE01D6">
        <w:t xml:space="preserve">informed </w:t>
      </w:r>
      <w:r w:rsidR="00EE01D6" w:rsidRPr="00F842B8">
        <w:t xml:space="preserve">choices </w:t>
      </w:r>
      <w:r w:rsidR="00EE01D6">
        <w:t xml:space="preserve">and </w:t>
      </w:r>
      <w:r w:rsidR="00EE01D6" w:rsidRPr="00F842B8">
        <w:t>will be better equipped to resist</w:t>
      </w:r>
      <w:r w:rsidR="00EE01D6">
        <w:t xml:space="preserve"> the</w:t>
      </w:r>
      <w:r w:rsidR="00EE01D6" w:rsidRPr="00F842B8">
        <w:t xml:space="preserve"> </w:t>
      </w:r>
      <w:r w:rsidR="00EE01D6">
        <w:t xml:space="preserve">youth </w:t>
      </w:r>
      <w:r w:rsidR="00EE01D6" w:rsidRPr="00F842B8">
        <w:t>recruitment efforts of violent extremist and radicalized groups</w:t>
      </w:r>
      <w:r w:rsidR="00EE01D6">
        <w:t xml:space="preserve">. </w:t>
      </w:r>
    </w:p>
    <w:p w14:paraId="5DD2EFC9" w14:textId="77777777" w:rsidR="00337722" w:rsidRDefault="00337722" w:rsidP="00E507A0">
      <w:pPr>
        <w:jc w:val="lowKashida"/>
      </w:pPr>
    </w:p>
    <w:p w14:paraId="24779AA1" w14:textId="027AB6AB" w:rsidR="00B56F60" w:rsidRDefault="3D0D492E" w:rsidP="00E507A0">
      <w:pPr>
        <w:jc w:val="lowKashida"/>
      </w:pPr>
      <w:r w:rsidRPr="7DF5A6EA">
        <w:t>One of the main challenges Jordan faces due to COVID-19 is its reliance on informal labor and its sizeable small and medium-sized enterprise (SME) segment. More than 52</w:t>
      </w:r>
      <w:r>
        <w:rPr>
          <w:bCs/>
        </w:rPr>
        <w:t>%</w:t>
      </w:r>
      <w:r w:rsidRPr="7DF5A6EA">
        <w:t xml:space="preserve"> of the workforce are in the informal category and around 95</w:t>
      </w:r>
      <w:r>
        <w:rPr>
          <w:bCs/>
        </w:rPr>
        <w:t>%</w:t>
      </w:r>
      <w:r w:rsidRPr="7DF5A6EA">
        <w:t xml:space="preserve"> of private sector businesses are SMEs, which contribute around 40</w:t>
      </w:r>
      <w:r>
        <w:rPr>
          <w:bCs/>
        </w:rPr>
        <w:t>%</w:t>
      </w:r>
      <w:r w:rsidRPr="7DF5A6EA">
        <w:t xml:space="preserve"> of GDP. Many SMEs are already suffering and need to lay off some of their workers to cut costs. Many day laborers in the construction and agriculture sectors, who are often foreign workers and ineligible for social services, also lost their source of income, and hence, their ability to meet their daily needs. </w:t>
      </w:r>
      <w:r w:rsidR="46F1A133" w:rsidRPr="7DF5A6EA">
        <w:t>Women in Jordan</w:t>
      </w:r>
      <w:r w:rsidR="7D13D445" w:rsidRPr="7DF5A6EA">
        <w:t xml:space="preserve"> carry the </w:t>
      </w:r>
      <w:r w:rsidR="104E8AB9" w:rsidRPr="7DF5A6EA">
        <w:t>heaviest burden</w:t>
      </w:r>
      <w:r w:rsidR="46F1A133" w:rsidRPr="7DF5A6EA">
        <w:t xml:space="preserve"> of informal and unpaid work</w:t>
      </w:r>
      <w:r w:rsidR="104E8AB9" w:rsidRPr="7DF5A6EA">
        <w:t xml:space="preserve"> as they spend 17.1 times more time than men on unpaid work (vs. a global average of 3.2), while men spend 6.5 more time on paid work than women (vs. a global average of 1.8). Estimations by UN Women based on time-use data for Jordan</w:t>
      </w:r>
      <w:r w:rsidR="104E8AB9" w:rsidRPr="00E507A0">
        <w:rPr>
          <w:bCs/>
        </w:rPr>
        <w:t>,</w:t>
      </w:r>
      <w:r w:rsidR="168559C2" w:rsidRPr="7DF5A6EA">
        <w:t xml:space="preserve"> are showing </w:t>
      </w:r>
      <w:r w:rsidR="104E8AB9" w:rsidRPr="7DF5A6EA">
        <w:t xml:space="preserve">that the unpaid work demands on women’s time </w:t>
      </w:r>
      <w:r w:rsidR="00CD6392">
        <w:t>is</w:t>
      </w:r>
      <w:r w:rsidR="00CD6392" w:rsidRPr="7DF5A6EA">
        <w:t xml:space="preserve"> </w:t>
      </w:r>
      <w:r w:rsidR="168559C2" w:rsidRPr="7DF5A6EA">
        <w:t xml:space="preserve">most likely </w:t>
      </w:r>
      <w:r w:rsidR="00CD6392">
        <w:t xml:space="preserve">to </w:t>
      </w:r>
      <w:r w:rsidR="168559C2" w:rsidRPr="7DF5A6EA">
        <w:t>dramatic</w:t>
      </w:r>
      <w:r w:rsidR="00CD6392">
        <w:t>ally</w:t>
      </w:r>
      <w:r w:rsidR="104E8AB9" w:rsidRPr="7DF5A6EA">
        <w:t xml:space="preserve"> increase under the pandemic conditions</w:t>
      </w:r>
      <w:r w:rsidR="168559C2" w:rsidRPr="7DF5A6EA">
        <w:t>. This is due to</w:t>
      </w:r>
      <w:r w:rsidR="104E8AB9" w:rsidRPr="7DF5A6EA">
        <w:t xml:space="preserve"> school closures (increased childcare demands), suspension of market services (lack of access to market substitutes to household production</w:t>
      </w:r>
      <w:r w:rsidR="168559C2">
        <w:rPr>
          <w:bCs/>
        </w:rPr>
        <w:t>)</w:t>
      </w:r>
      <w:r w:rsidR="104E8AB9" w:rsidRPr="7DF5A6EA">
        <w:t>), higher vulnerability of the elderly and risk of illness (increased elderly and ill care demands)</w:t>
      </w:r>
      <w:r w:rsidR="168559C2">
        <w:rPr>
          <w:bCs/>
        </w:rPr>
        <w:t>.</w:t>
      </w:r>
      <w:r w:rsidR="00800117" w:rsidRPr="7DF5A6EA">
        <w:rPr>
          <w:rStyle w:val="FootnoteReference"/>
        </w:rPr>
        <w:footnoteReference w:id="12"/>
      </w:r>
    </w:p>
    <w:p w14:paraId="5563C014" w14:textId="6ECCABAF" w:rsidR="007451E2" w:rsidRDefault="007451E2" w:rsidP="00E507A0">
      <w:pPr>
        <w:jc w:val="lowKashida"/>
        <w:rPr>
          <w:bCs/>
        </w:rPr>
      </w:pPr>
    </w:p>
    <w:p w14:paraId="3DEE4E28" w14:textId="2147DBE8" w:rsidR="003212A4" w:rsidRDefault="007451E2" w:rsidP="003212A4">
      <w:pPr>
        <w:jc w:val="lowKashida"/>
      </w:pPr>
      <w:r w:rsidRPr="3A416783">
        <w:t>Gender-based violence also remain</w:t>
      </w:r>
      <w:r w:rsidR="4F701A3E">
        <w:t>s</w:t>
      </w:r>
      <w:r w:rsidRPr="3A416783">
        <w:t xml:space="preserve"> a significant development challenge in Jordan. According to </w:t>
      </w:r>
      <w:r w:rsidR="00486D99" w:rsidRPr="3A416783">
        <w:t>Department of Statistics</w:t>
      </w:r>
      <w:r w:rsidR="00EC7669" w:rsidRPr="3A416783">
        <w:t xml:space="preserve"> from </w:t>
      </w:r>
      <w:r w:rsidR="00E06F3E" w:rsidRPr="3A416783">
        <w:t>2017-2018</w:t>
      </w:r>
      <w:r w:rsidR="00486D99" w:rsidRPr="3A416783">
        <w:t xml:space="preserve">, one out of four </w:t>
      </w:r>
      <w:r w:rsidR="00115EE4" w:rsidRPr="3A416783">
        <w:t>married wom</w:t>
      </w:r>
      <w:r w:rsidR="00163838" w:rsidRPr="3A416783">
        <w:t>e</w:t>
      </w:r>
      <w:r w:rsidR="00115EE4" w:rsidRPr="3A416783">
        <w:t xml:space="preserve">n between the age of 15 – 49 </w:t>
      </w:r>
      <w:r w:rsidR="007C6769" w:rsidRPr="3A416783">
        <w:t xml:space="preserve">have experienced domestic violence perpetrated by their spouse. </w:t>
      </w:r>
      <w:r w:rsidR="005D0B79" w:rsidRPr="3A416783">
        <w:t xml:space="preserve">Moreover, </w:t>
      </w:r>
      <w:r w:rsidR="009C1EDD" w:rsidRPr="3A416783">
        <w:t xml:space="preserve">69% of men </w:t>
      </w:r>
      <w:r w:rsidR="00E06F3E" w:rsidRPr="3A416783">
        <w:t xml:space="preserve">in Jordan </w:t>
      </w:r>
      <w:r w:rsidR="009C1EDD" w:rsidRPr="3A416783">
        <w:t xml:space="preserve">believe that </w:t>
      </w:r>
      <w:r w:rsidR="00EC7669" w:rsidRPr="3A416783">
        <w:t>a husband can be justified to beat his wife.</w:t>
      </w:r>
      <w:r w:rsidR="00B02C9D" w:rsidRPr="3A416783">
        <w:rPr>
          <w:rStyle w:val="FootnoteReference"/>
        </w:rPr>
        <w:footnoteReference w:id="13"/>
      </w:r>
      <w:r w:rsidR="00283739" w:rsidRPr="3A416783">
        <w:t xml:space="preserve"> A study by ACTED</w:t>
      </w:r>
      <w:r w:rsidR="00C31436">
        <w:rPr>
          <w:bCs/>
        </w:rPr>
        <w:t>,</w:t>
      </w:r>
      <w:r w:rsidR="007E7154" w:rsidRPr="3A416783">
        <w:t xml:space="preserve"> Arab Women’s Organization (AWO)</w:t>
      </w:r>
      <w:r w:rsidR="00C31436" w:rsidRPr="3A416783">
        <w:t>, Information and Research Center – King Hussein Foundation (IRCKHF), and the Center for Women’s Studies (CWS)</w:t>
      </w:r>
      <w:r w:rsidR="004B4F65" w:rsidRPr="3A416783">
        <w:t xml:space="preserve"> exploring the relationship between GBV and radicalization</w:t>
      </w:r>
      <w:r w:rsidR="00C31436" w:rsidRPr="3A416783">
        <w:rPr>
          <w:rStyle w:val="FootnoteReference"/>
        </w:rPr>
        <w:footnoteReference w:id="14"/>
      </w:r>
      <w:r w:rsidR="007E7154" w:rsidRPr="3A416783">
        <w:t xml:space="preserve"> furthermore show</w:t>
      </w:r>
      <w:r w:rsidR="0068021D" w:rsidRPr="229EEE58">
        <w:t>s</w:t>
      </w:r>
      <w:r w:rsidR="007E7154">
        <w:rPr>
          <w:bCs/>
        </w:rPr>
        <w:t xml:space="preserve"> </w:t>
      </w:r>
      <w:r w:rsidR="003212A4">
        <w:t xml:space="preserve">the following: </w:t>
      </w:r>
    </w:p>
    <w:p w14:paraId="2DAD44B8" w14:textId="10651B18" w:rsidR="003212A4" w:rsidRDefault="0068021D" w:rsidP="0068021D">
      <w:pPr>
        <w:pStyle w:val="ListParagraph"/>
        <w:numPr>
          <w:ilvl w:val="0"/>
          <w:numId w:val="36"/>
        </w:numPr>
        <w:jc w:val="lowKashida"/>
        <w:rPr>
          <w:bCs/>
        </w:rPr>
      </w:pPr>
      <w:r>
        <w:rPr>
          <w:bCs/>
        </w:rPr>
        <w:t xml:space="preserve">A </w:t>
      </w:r>
      <w:r w:rsidR="003212A4" w:rsidRPr="0053030D">
        <w:rPr>
          <w:bCs/>
        </w:rPr>
        <w:t>strong link exists between GBV and radicalization in that women who have experienced GBV are more likely to have also been exposed to the effects of radicalization;</w:t>
      </w:r>
    </w:p>
    <w:p w14:paraId="11CD2ADC" w14:textId="07F29689" w:rsidR="0068021D" w:rsidRDefault="0068021D" w:rsidP="0068021D">
      <w:pPr>
        <w:pStyle w:val="ListParagraph"/>
        <w:numPr>
          <w:ilvl w:val="0"/>
          <w:numId w:val="36"/>
        </w:numPr>
        <w:jc w:val="lowKashida"/>
        <w:rPr>
          <w:bCs/>
        </w:rPr>
      </w:pPr>
      <w:r w:rsidRPr="0068021D">
        <w:rPr>
          <w:bCs/>
        </w:rPr>
        <w:t>Women are perceived to be among the most</w:t>
      </w:r>
      <w:r>
        <w:rPr>
          <w:bCs/>
        </w:rPr>
        <w:t xml:space="preserve"> </w:t>
      </w:r>
      <w:r w:rsidRPr="0053030D">
        <w:rPr>
          <w:bCs/>
        </w:rPr>
        <w:t>at-risk from the effects of radicalization;</w:t>
      </w:r>
    </w:p>
    <w:p w14:paraId="0085A8B1" w14:textId="24936D00" w:rsidR="0068021D" w:rsidRDefault="0068021D" w:rsidP="0068021D">
      <w:pPr>
        <w:pStyle w:val="ListParagraph"/>
        <w:numPr>
          <w:ilvl w:val="0"/>
          <w:numId w:val="36"/>
        </w:numPr>
        <w:jc w:val="lowKashida"/>
        <w:rPr>
          <w:bCs/>
        </w:rPr>
      </w:pPr>
      <w:r w:rsidRPr="0068021D">
        <w:rPr>
          <w:bCs/>
        </w:rPr>
        <w:t>Radicalization is thought to be increasing and,</w:t>
      </w:r>
      <w:r>
        <w:rPr>
          <w:bCs/>
        </w:rPr>
        <w:t xml:space="preserve"> </w:t>
      </w:r>
      <w:r w:rsidRPr="0053030D">
        <w:rPr>
          <w:bCs/>
        </w:rPr>
        <w:t>given its perceived effect on women, is a big</w:t>
      </w:r>
      <w:r>
        <w:rPr>
          <w:bCs/>
        </w:rPr>
        <w:t xml:space="preserve"> </w:t>
      </w:r>
      <w:r w:rsidRPr="0053030D">
        <w:rPr>
          <w:bCs/>
        </w:rPr>
        <w:t>concern for women across all governorates,</w:t>
      </w:r>
      <w:r>
        <w:rPr>
          <w:bCs/>
        </w:rPr>
        <w:t xml:space="preserve"> </w:t>
      </w:r>
      <w:r w:rsidRPr="0053030D">
        <w:rPr>
          <w:bCs/>
        </w:rPr>
        <w:t>ages and education levels in Jordan.</w:t>
      </w:r>
    </w:p>
    <w:p w14:paraId="46C969A0" w14:textId="33476DEC" w:rsidR="0068021D" w:rsidRPr="0053030D" w:rsidRDefault="0068021D" w:rsidP="0068021D">
      <w:pPr>
        <w:jc w:val="lowKashida"/>
        <w:rPr>
          <w:bCs/>
        </w:rPr>
      </w:pPr>
      <w:r>
        <w:rPr>
          <w:bCs/>
        </w:rPr>
        <w:t xml:space="preserve">Preventing online radicalization and enhancing community security must therefore also address gender-based violence, as </w:t>
      </w:r>
      <w:r w:rsidR="00181672">
        <w:rPr>
          <w:bCs/>
        </w:rPr>
        <w:t xml:space="preserve">per output 2 of this project. </w:t>
      </w:r>
    </w:p>
    <w:p w14:paraId="21B1A41F" w14:textId="77777777" w:rsidR="00B26E01" w:rsidRPr="00B26E01" w:rsidRDefault="00B26E01" w:rsidP="00B26E01">
      <w:pPr>
        <w:jc w:val="lowKashida"/>
        <w:rPr>
          <w:bCs/>
        </w:rPr>
      </w:pPr>
    </w:p>
    <w:p w14:paraId="09ED072F" w14:textId="597763AA" w:rsidR="00B26E01" w:rsidRDefault="3D0D492E" w:rsidP="00B26E01">
      <w:pPr>
        <w:jc w:val="lowKashida"/>
      </w:pPr>
      <w:r>
        <w:t xml:space="preserve">COVID-19 has </w:t>
      </w:r>
      <w:r w:rsidR="4DF19794">
        <w:t xml:space="preserve">affected Jordan significantly and </w:t>
      </w:r>
      <w:r>
        <w:t xml:space="preserve">the Kingdom has been severely hit socio-economically. Also, the COVID-19 crisis and accompanying restrictive measures risk exacerbating social tensions and undermining trust within </w:t>
      </w:r>
      <w:r w:rsidR="00066F14">
        <w:t xml:space="preserve">and between </w:t>
      </w:r>
      <w:r>
        <w:t xml:space="preserve">communities and with government </w:t>
      </w:r>
      <w:r>
        <w:lastRenderedPageBreak/>
        <w:t>institutions. Without being part of decision-making process and community dialogue, there is an increased sense of marginalization.</w:t>
      </w:r>
    </w:p>
    <w:p w14:paraId="79000612" w14:textId="10F5E3BE" w:rsidR="00863C4C" w:rsidRDefault="00863C4C" w:rsidP="00B26E01">
      <w:pPr>
        <w:jc w:val="lowKashida"/>
        <w:rPr>
          <w:bCs/>
        </w:rPr>
      </w:pPr>
    </w:p>
    <w:p w14:paraId="442EA599" w14:textId="3F7045EF" w:rsidR="00863C4C" w:rsidRDefault="00863C4C" w:rsidP="007726C3">
      <w:pPr>
        <w:rPr>
          <w:bCs/>
        </w:rPr>
      </w:pPr>
      <w:r>
        <w:rPr>
          <w:bCs/>
        </w:rPr>
        <w:t>Then socio-economic conse</w:t>
      </w:r>
      <w:r w:rsidR="009E56A5">
        <w:rPr>
          <w:bCs/>
        </w:rPr>
        <w:t xml:space="preserve">quences of </w:t>
      </w:r>
      <w:r w:rsidRPr="00863C4C">
        <w:rPr>
          <w:bCs/>
        </w:rPr>
        <w:t xml:space="preserve">COVID-19 </w:t>
      </w:r>
      <w:r w:rsidR="009E56A5">
        <w:rPr>
          <w:bCs/>
        </w:rPr>
        <w:t>impact certain groups more than others</w:t>
      </w:r>
      <w:r w:rsidR="00136624">
        <w:rPr>
          <w:bCs/>
        </w:rPr>
        <w:t xml:space="preserve"> and in particular women living in poverty or who are economically dependent. </w:t>
      </w:r>
      <w:r w:rsidRPr="00863C4C">
        <w:rPr>
          <w:bCs/>
        </w:rPr>
        <w:t>Women have</w:t>
      </w:r>
      <w:r>
        <w:rPr>
          <w:bCs/>
        </w:rPr>
        <w:t xml:space="preserve"> </w:t>
      </w:r>
      <w:r w:rsidRPr="00863C4C">
        <w:rPr>
          <w:bCs/>
        </w:rPr>
        <w:t>been disproportionately impacted by job-related lockdown</w:t>
      </w:r>
      <w:r>
        <w:rPr>
          <w:bCs/>
        </w:rPr>
        <w:t xml:space="preserve"> </w:t>
      </w:r>
      <w:r w:rsidRPr="00863C4C">
        <w:rPr>
          <w:bCs/>
        </w:rPr>
        <w:t>implications, including closure of child-care facilities and</w:t>
      </w:r>
      <w:r>
        <w:rPr>
          <w:bCs/>
        </w:rPr>
        <w:t xml:space="preserve"> </w:t>
      </w:r>
      <w:r w:rsidRPr="00863C4C">
        <w:rPr>
          <w:bCs/>
        </w:rPr>
        <w:t>schools, reduced access to sexual and reproductive health,</w:t>
      </w:r>
      <w:r>
        <w:rPr>
          <w:bCs/>
        </w:rPr>
        <w:t xml:space="preserve"> </w:t>
      </w:r>
      <w:r w:rsidR="007726C3">
        <w:rPr>
          <w:bCs/>
        </w:rPr>
        <w:t>g</w:t>
      </w:r>
      <w:r w:rsidRPr="00863C4C">
        <w:rPr>
          <w:bCs/>
        </w:rPr>
        <w:t>ender</w:t>
      </w:r>
      <w:r w:rsidR="007726C3">
        <w:rPr>
          <w:bCs/>
        </w:rPr>
        <w:t>-b</w:t>
      </w:r>
      <w:r w:rsidRPr="00863C4C">
        <w:rPr>
          <w:bCs/>
        </w:rPr>
        <w:t xml:space="preserve">ased </w:t>
      </w:r>
      <w:r w:rsidR="007726C3">
        <w:rPr>
          <w:bCs/>
        </w:rPr>
        <w:t>v</w:t>
      </w:r>
      <w:r w:rsidRPr="00863C4C">
        <w:rPr>
          <w:bCs/>
        </w:rPr>
        <w:t>iolence (GBV) and</w:t>
      </w:r>
      <w:r w:rsidR="007726C3">
        <w:rPr>
          <w:bCs/>
        </w:rPr>
        <w:t xml:space="preserve"> the closing of</w:t>
      </w:r>
      <w:r w:rsidRPr="00863C4C">
        <w:rPr>
          <w:bCs/>
        </w:rPr>
        <w:t xml:space="preserve"> other women-centric</w:t>
      </w:r>
      <w:r>
        <w:rPr>
          <w:bCs/>
        </w:rPr>
        <w:t xml:space="preserve"> </w:t>
      </w:r>
      <w:r w:rsidRPr="00863C4C">
        <w:rPr>
          <w:bCs/>
        </w:rPr>
        <w:t>essential health and care services. Based on existing</w:t>
      </w:r>
      <w:r>
        <w:rPr>
          <w:bCs/>
        </w:rPr>
        <w:t xml:space="preserve"> </w:t>
      </w:r>
      <w:r w:rsidRPr="00863C4C">
        <w:rPr>
          <w:bCs/>
        </w:rPr>
        <w:t>criteria, certain at-risk groups of women (GBV survivors in</w:t>
      </w:r>
      <w:r>
        <w:rPr>
          <w:bCs/>
        </w:rPr>
        <w:t xml:space="preserve"> </w:t>
      </w:r>
      <w:r w:rsidRPr="00863C4C">
        <w:rPr>
          <w:bCs/>
        </w:rPr>
        <w:t>shelters, Jordanian women married to foreigners,</w:t>
      </w:r>
      <w:r w:rsidR="007726C3">
        <w:rPr>
          <w:bCs/>
        </w:rPr>
        <w:t xml:space="preserve"> women</w:t>
      </w:r>
      <w:r>
        <w:rPr>
          <w:bCs/>
        </w:rPr>
        <w:t xml:space="preserve"> </w:t>
      </w:r>
      <w:r w:rsidRPr="00863C4C">
        <w:rPr>
          <w:bCs/>
        </w:rPr>
        <w:t>owners of home-based businesses) are further impacted by</w:t>
      </w:r>
      <w:r>
        <w:rPr>
          <w:bCs/>
        </w:rPr>
        <w:t xml:space="preserve"> </w:t>
      </w:r>
      <w:r w:rsidRPr="00863C4C">
        <w:rPr>
          <w:bCs/>
        </w:rPr>
        <w:t>exclusion from social welfare benefits. Women’s economic</w:t>
      </w:r>
      <w:r>
        <w:rPr>
          <w:bCs/>
        </w:rPr>
        <w:t xml:space="preserve"> </w:t>
      </w:r>
      <w:r w:rsidRPr="00863C4C">
        <w:rPr>
          <w:bCs/>
        </w:rPr>
        <w:t>participation has also been hit hard by COVID-19, given their</w:t>
      </w:r>
      <w:r>
        <w:rPr>
          <w:bCs/>
        </w:rPr>
        <w:t xml:space="preserve"> </w:t>
      </w:r>
      <w:r w:rsidRPr="00863C4C">
        <w:rPr>
          <w:bCs/>
        </w:rPr>
        <w:t>high representation in the informal economy and in small and</w:t>
      </w:r>
      <w:r>
        <w:rPr>
          <w:bCs/>
        </w:rPr>
        <w:t xml:space="preserve"> </w:t>
      </w:r>
      <w:r w:rsidRPr="00863C4C">
        <w:rPr>
          <w:bCs/>
        </w:rPr>
        <w:t>medium sized businesses.</w:t>
      </w:r>
      <w:r w:rsidR="007726C3">
        <w:rPr>
          <w:bCs/>
        </w:rPr>
        <w:t xml:space="preserve"> </w:t>
      </w:r>
      <w:r w:rsidRPr="00863C4C">
        <w:rPr>
          <w:bCs/>
        </w:rPr>
        <w:t>The pandemic has exacerbated the</w:t>
      </w:r>
      <w:r w:rsidR="00431D67">
        <w:rPr>
          <w:bCs/>
        </w:rPr>
        <w:t xml:space="preserve"> patterns of</w:t>
      </w:r>
      <w:r>
        <w:rPr>
          <w:bCs/>
        </w:rPr>
        <w:t xml:space="preserve"> </w:t>
      </w:r>
      <w:r w:rsidRPr="00863C4C">
        <w:rPr>
          <w:bCs/>
        </w:rPr>
        <w:t>limited mobility of girls</w:t>
      </w:r>
      <w:r w:rsidR="007726C3">
        <w:rPr>
          <w:bCs/>
        </w:rPr>
        <w:t xml:space="preserve"> compared to </w:t>
      </w:r>
      <w:r w:rsidR="00431D67">
        <w:rPr>
          <w:bCs/>
        </w:rPr>
        <w:t>that of boys</w:t>
      </w:r>
      <w:r w:rsidRPr="00863C4C">
        <w:rPr>
          <w:bCs/>
        </w:rPr>
        <w:t>. More generally, women and girls</w:t>
      </w:r>
      <w:r w:rsidR="00431D67">
        <w:rPr>
          <w:bCs/>
        </w:rPr>
        <w:t xml:space="preserve"> have been</w:t>
      </w:r>
      <w:r>
        <w:rPr>
          <w:bCs/>
        </w:rPr>
        <w:t xml:space="preserve"> </w:t>
      </w:r>
      <w:r w:rsidRPr="00863C4C">
        <w:rPr>
          <w:bCs/>
        </w:rPr>
        <w:t>disproportionately disadvantaged by more limited access to</w:t>
      </w:r>
      <w:r>
        <w:rPr>
          <w:bCs/>
        </w:rPr>
        <w:t xml:space="preserve"> </w:t>
      </w:r>
      <w:r w:rsidRPr="00863C4C">
        <w:rPr>
          <w:bCs/>
        </w:rPr>
        <w:t>technology</w:t>
      </w:r>
      <w:r w:rsidR="00421B7E">
        <w:rPr>
          <w:bCs/>
        </w:rPr>
        <w:t xml:space="preserve"> and information.</w:t>
      </w:r>
      <w:r w:rsidR="00421B7E">
        <w:rPr>
          <w:rStyle w:val="FootnoteReference"/>
          <w:bCs/>
        </w:rPr>
        <w:footnoteReference w:id="15"/>
      </w:r>
      <w:r w:rsidR="00421B7E">
        <w:rPr>
          <w:bCs/>
        </w:rPr>
        <w:t xml:space="preserve"> </w:t>
      </w:r>
    </w:p>
    <w:p w14:paraId="65394AE6" w14:textId="77777777" w:rsidR="00B26E01" w:rsidRDefault="00B26E01" w:rsidP="00040699">
      <w:pPr>
        <w:jc w:val="lowKashida"/>
        <w:rPr>
          <w:bCs/>
        </w:rPr>
      </w:pPr>
    </w:p>
    <w:p w14:paraId="61FB3591" w14:textId="77777777" w:rsidR="00AC430E" w:rsidRPr="009146FB" w:rsidRDefault="005E39DC" w:rsidP="005E39DC">
      <w:pPr>
        <w:numPr>
          <w:ilvl w:val="0"/>
          <w:numId w:val="25"/>
        </w:numPr>
        <w:ind w:left="360"/>
        <w:rPr>
          <w:b/>
          <w:bCs/>
        </w:rPr>
      </w:pPr>
      <w:r w:rsidRPr="009146FB">
        <w:rPr>
          <w:b/>
          <w:bCs/>
        </w:rPr>
        <w:t>Urgency and unpredictability</w:t>
      </w:r>
    </w:p>
    <w:p w14:paraId="7D42D79C" w14:textId="77777777" w:rsidR="005E39DC" w:rsidRDefault="005E39DC" w:rsidP="005E39DC">
      <w:pPr>
        <w:rPr>
          <w:b/>
          <w:bCs/>
        </w:rPr>
      </w:pPr>
    </w:p>
    <w:p w14:paraId="08567702" w14:textId="77777777" w:rsidR="00612900" w:rsidRPr="00C414B9" w:rsidRDefault="00612900" w:rsidP="00612900">
      <w:r w:rsidRPr="00822F87">
        <w:t xml:space="preserve">Since 2015, UNDP Jordan started its support to the Government of Jordan’s efforts in PVE engagement. Particularly, UNDP worked closely with various ministries and government stakeholders in developing a national PVE strategy and National Action Plan (NAP) and deployment of technical advisory support to the establishment of a PVE Unit. Especially after the Government of Jordan transferred the PVE Unit from the Ministry of Culture to the Office of the Prime Minister and adopted a NAP in August 2018 to reinforce PVE activities as a key priority for the Kingdom, UNDP and the relevant stakeholders decided a course of actions to be taken in order to strengthen the PVE efforts in the Kingdom. </w:t>
      </w:r>
    </w:p>
    <w:p w14:paraId="78203A9A" w14:textId="77777777" w:rsidR="00612900" w:rsidRPr="00C414B9" w:rsidRDefault="00612900" w:rsidP="00612900"/>
    <w:p w14:paraId="07750C9A" w14:textId="3D3E281C" w:rsidR="00612900" w:rsidRDefault="4551CD57" w:rsidP="00612900">
      <w:r w:rsidRPr="00C414B9">
        <w:t xml:space="preserve">However, because of the outbreak of COVID-19 in the Kingdom, the Government of Jordan needed to focus its efforts to </w:t>
      </w:r>
      <w:r>
        <w:t>contain</w:t>
      </w:r>
      <w:r w:rsidRPr="00C414B9">
        <w:t xml:space="preserve"> the spread of virus and took serious measures in reducing the risk and prevention</w:t>
      </w:r>
      <w:r w:rsidR="2888A8F3">
        <w:t>, including complete lockdown for about 20 days and closure of an international airport for about 6 months</w:t>
      </w:r>
      <w:r w:rsidRPr="00C414B9">
        <w:t xml:space="preserve">. </w:t>
      </w:r>
      <w:r>
        <w:t xml:space="preserve">Since the </w:t>
      </w:r>
      <w:r w:rsidRPr="00C414B9">
        <w:t>night curfew</w:t>
      </w:r>
      <w:r w:rsidR="2888A8F3">
        <w:t xml:space="preserve"> and weekend lockdown</w:t>
      </w:r>
      <w:r w:rsidRPr="00C414B9">
        <w:t xml:space="preserve"> remained</w:t>
      </w:r>
      <w:r>
        <w:t xml:space="preserve"> in place</w:t>
      </w:r>
      <w:r w:rsidRPr="00C414B9">
        <w:t xml:space="preserve"> even </w:t>
      </w:r>
      <w:r w:rsidR="2888A8F3">
        <w:t>until now</w:t>
      </w:r>
      <w:r>
        <w:t>, these</w:t>
      </w:r>
      <w:r w:rsidRPr="00C414B9">
        <w:t xml:space="preserve"> </w:t>
      </w:r>
      <w:r>
        <w:t xml:space="preserve">restrictions forced </w:t>
      </w:r>
      <w:r w:rsidRPr="00C414B9">
        <w:t>many industries and shops to remain closed</w:t>
      </w:r>
      <w:r>
        <w:t>. T</w:t>
      </w:r>
      <w:r w:rsidRPr="00C414B9">
        <w:t>he number of unemploy</w:t>
      </w:r>
      <w:r w:rsidR="059677C2" w:rsidRPr="00C414B9">
        <w:t>ed</w:t>
      </w:r>
      <w:r w:rsidRPr="00C414B9">
        <w:t xml:space="preserve"> </w:t>
      </w:r>
      <w:r>
        <w:t>increased instantly</w:t>
      </w:r>
      <w:r w:rsidRPr="00C414B9">
        <w:t>. It is estimated that 1.4 million workers, representing about 81</w:t>
      </w:r>
      <w:r w:rsidR="282D00E8">
        <w:t xml:space="preserve">% </w:t>
      </w:r>
      <w:r w:rsidRPr="00C414B9">
        <w:t xml:space="preserve">of the workforce in Jordan, will be affected by the complete or partial curfew. Further, </w:t>
      </w:r>
      <w:r>
        <w:t xml:space="preserve">according to UNDP’s survey to measure the impact of COVID-19 to </w:t>
      </w:r>
      <w:r w:rsidR="00BF572C">
        <w:t xml:space="preserve">a sample of </w:t>
      </w:r>
      <w:r>
        <w:t>the</w:t>
      </w:r>
      <w:r w:rsidR="00BF572C">
        <w:t xml:space="preserve"> 190,000</w:t>
      </w:r>
      <w:r>
        <w:t xml:space="preserve"> vulnerable households in May 2020, </w:t>
      </w:r>
      <w:r w:rsidRPr="00C414B9">
        <w:t>68% of the respondents reported that they have lost their livelihoods during the lockdown</w:t>
      </w:r>
      <w:r>
        <w:t xml:space="preserve"> and 65% of them lost their jobs during the lockdown</w:t>
      </w:r>
      <w:r w:rsidR="00612900">
        <w:rPr>
          <w:rStyle w:val="FootnoteReference"/>
        </w:rPr>
        <w:footnoteReference w:id="16"/>
      </w:r>
      <w:r>
        <w:t>.</w:t>
      </w:r>
      <w:r w:rsidR="00BF572C">
        <w:t xml:space="preserve"> </w:t>
      </w:r>
    </w:p>
    <w:p w14:paraId="327CA8FB" w14:textId="77777777" w:rsidR="0057676A" w:rsidRDefault="0057676A" w:rsidP="000D2E24"/>
    <w:p w14:paraId="736B7D5F" w14:textId="4993EDA1" w:rsidR="003D3626" w:rsidRDefault="003D3626" w:rsidP="003D3626">
      <w:r>
        <w:t xml:space="preserve">Further, a series of large-scale demonstrations in Amman against the </w:t>
      </w:r>
      <w:r w:rsidR="00060EF4">
        <w:t xml:space="preserve">previous </w:t>
      </w:r>
      <w:r>
        <w:t xml:space="preserve">administration </w:t>
      </w:r>
      <w:r w:rsidR="00060EF4">
        <w:t xml:space="preserve">took place </w:t>
      </w:r>
      <w:r>
        <w:t>before and aftermath of the COVID-19 crisis. For instance, in September 2019, thousands of teachers from all over the Kingdom protested to demand the Government to fulfil its 2014 promise of increasing teachers’ salary by 50%. Although the Government agreed to do so after a month-long strike, the Government decided to postpone the increase of the salary due to the COVID-19 crisis. As a result, in July 2020, the teachers demonstrated again on the street. Some youth activities supported the demonstration by using online messaging under the hashtag “solidarity with teachers”. Images and videos of the national anti-riot police arresting and clashing with the protesters, portraying excessive use of force, circulated abundantly on social media. This underscores the Jordanians’ political and social volatilities. Such protests surface the underlying frustration against the Kingdom’s political decisions and actions, particularly against their lack of clear strategies in addressing the socio-economic insecurities.</w:t>
      </w:r>
    </w:p>
    <w:p w14:paraId="7DB59DB1" w14:textId="77777777" w:rsidR="003D3626" w:rsidRDefault="003D3626" w:rsidP="003D3626"/>
    <w:p w14:paraId="3B6F9CFE" w14:textId="77777777" w:rsidR="001B774C" w:rsidRDefault="003D3626" w:rsidP="003D3626">
      <w:r>
        <w:lastRenderedPageBreak/>
        <w:t xml:space="preserve">These incidents highlighted that key drivers of violent extremism (i.e. frustration over economic unfairness, social marginalization and political corruption) continue to be highly relevant factors and they need to be addressed otherwise hindering community security and social cohesion. In addition, the increased internet usage for school, work and leisure, triggered by the pandemic, exacerbates the need to intensify measures to prevent at-risk individuals being drawn towards violent extremist responses. With the country’s stagnant economics, a large number of vulnerable Jordanians have been continued to be severely affected socio-economically during the COVID-19 pandemic. With the continuing COVID-19 crisis, the number of residents who are frustrated by the current situation is expected to increase and will continue losing trust in the current administration. </w:t>
      </w:r>
    </w:p>
    <w:p w14:paraId="43E68255" w14:textId="77777777" w:rsidR="001B774C" w:rsidRDefault="001B774C" w:rsidP="000D2E24"/>
    <w:p w14:paraId="7D22CA58" w14:textId="77777777" w:rsidR="00BC3596" w:rsidRPr="003B183A" w:rsidRDefault="009941E9" w:rsidP="00BC3596">
      <w:pPr>
        <w:pStyle w:val="Heading1"/>
        <w:pBdr>
          <w:top w:val="single" w:sz="4" w:space="0" w:color="auto"/>
        </w:pBdr>
      </w:pPr>
      <w:r w:rsidRPr="003B183A">
        <w:t>Strategy</w:t>
      </w:r>
      <w:r w:rsidR="00F50251" w:rsidRPr="003B183A">
        <w:t xml:space="preserve"> </w:t>
      </w:r>
    </w:p>
    <w:p w14:paraId="3AB99F82" w14:textId="30972B22" w:rsidR="00B5699F" w:rsidRDefault="6F12FF29" w:rsidP="00E2793F">
      <w:r>
        <w:t xml:space="preserve">The overall goal of this project is to prevent the risk of violent extremism and </w:t>
      </w:r>
      <w:r w:rsidR="68C9FCBC">
        <w:t xml:space="preserve">support </w:t>
      </w:r>
      <w:r>
        <w:t xml:space="preserve">social stabilization through a comprehensive and people-centered approach. By reducing the risk of online recruitment of violent extremists and addressing digital literacy to combat radicalization, UNDP will seek to empower and build resilience of vulnerable young men and women. Further, by regularly monitoring a city/community vulnerability risks as well as promoting community-based approach particularly to mitigate COVID-19 impacts, this project aims at increasing resilience of communities. Establishing a conflict resolution mechanism by closely collaborating with local security councils and other relevant stakeholders will strengthen social cohesion and community security at local level. </w:t>
      </w:r>
    </w:p>
    <w:p w14:paraId="35341C99" w14:textId="2B39ED5A" w:rsidR="00DC2214" w:rsidRDefault="00DC2214" w:rsidP="00E2793F"/>
    <w:p w14:paraId="0A3F4DD5" w14:textId="42A2BB41" w:rsidR="00EF07A5" w:rsidRPr="00EF07A5" w:rsidRDefault="77D95EA2" w:rsidP="00EF07A5">
      <w:pPr>
        <w:autoSpaceDE w:val="0"/>
        <w:autoSpaceDN w:val="0"/>
        <w:adjustRightInd w:val="0"/>
        <w:rPr>
          <w:rFonts w:cs="Calibri"/>
          <w:color w:val="000000"/>
        </w:rPr>
      </w:pPr>
      <w:r w:rsidRPr="00066F14">
        <w:rPr>
          <w:color w:val="000000" w:themeColor="text1"/>
        </w:rPr>
        <w:t xml:space="preserve">Additionally, this project focuses on enhancing socio-economic resilience of communities that were deteriorated by the COVID-19 pandemic. As research </w:t>
      </w:r>
      <w:r w:rsidRPr="7DF5A6EA">
        <w:rPr>
          <w:rFonts w:cs="Calibri"/>
          <w:color w:val="000000" w:themeColor="text1"/>
        </w:rPr>
        <w:t>suggest</w:t>
      </w:r>
      <w:r w:rsidR="227FE3DB" w:rsidRPr="7DF5A6EA">
        <w:rPr>
          <w:rFonts w:cs="Calibri"/>
          <w:color w:val="000000" w:themeColor="text1"/>
        </w:rPr>
        <w:t>s</w:t>
      </w:r>
      <w:r w:rsidRPr="00066F14">
        <w:rPr>
          <w:color w:val="000000" w:themeColor="text1"/>
        </w:rPr>
        <w:t xml:space="preserve"> that vulnerable groups were negatively affected the most by the lockdown in Jordan, UNDP targets them in the project implementation in order to </w:t>
      </w:r>
      <w:r w:rsidR="45EB450D" w:rsidRPr="7DF5A6EA">
        <w:rPr>
          <w:rFonts w:cs="Calibri"/>
          <w:color w:val="000000" w:themeColor="text1"/>
        </w:rPr>
        <w:t>restore</w:t>
      </w:r>
      <w:r w:rsidRPr="00066F14">
        <w:rPr>
          <w:color w:val="000000" w:themeColor="text1"/>
        </w:rPr>
        <w:t xml:space="preserve"> their livelihoods and re-build trust within their communities and to the government institutions. Further, by addressing economic and community insecurities that were increased during COVID-19 pandemic, UNDP will establish a mechanism where the vulnerable community members can be ready for any crisis to come, mitigate the impact, and recover quickly from them.  </w:t>
      </w:r>
    </w:p>
    <w:p w14:paraId="3999A471" w14:textId="77777777" w:rsidR="00EF07A5" w:rsidRPr="00236036" w:rsidRDefault="00EF07A5" w:rsidP="00E2793F"/>
    <w:p w14:paraId="56466881" w14:textId="3B3FEC96" w:rsidR="008D7137" w:rsidRDefault="70E225C5" w:rsidP="00CA722C">
      <w:pPr>
        <w:pStyle w:val="CommentText"/>
      </w:pPr>
      <w:r w:rsidRPr="003474E5">
        <w:t xml:space="preserve">The project has one overall outcome: </w:t>
      </w:r>
      <w:r w:rsidR="75A7B286" w:rsidRPr="003474E5">
        <w:t xml:space="preserve">Community security and socio-economic resilience of vulnerable young men and women are improved in Jordan in the context of COVID-19 </w:t>
      </w:r>
      <w:r w:rsidR="4EB491EA" w:rsidRPr="003474E5">
        <w:t xml:space="preserve">with </w:t>
      </w:r>
      <w:r w:rsidR="26B1897A" w:rsidRPr="003474E5">
        <w:t>two</w:t>
      </w:r>
      <w:r w:rsidR="4EB491EA" w:rsidRPr="003474E5">
        <w:t xml:space="preserve"> supporting outputs: Output 1: </w:t>
      </w:r>
      <w:r w:rsidR="00CA722C" w:rsidRPr="003474E5">
        <w:t>Digital literacy of national government and vulnerable communities in Jordan are enhanced to build resilience and combat radicalization and prevent extremism</w:t>
      </w:r>
      <w:r w:rsidR="037A804A" w:rsidRPr="003474E5">
        <w:t xml:space="preserve">; and </w:t>
      </w:r>
      <w:r w:rsidR="4EB491EA" w:rsidRPr="003474E5">
        <w:t xml:space="preserve">Output 2: </w:t>
      </w:r>
      <w:r w:rsidR="037A804A" w:rsidRPr="003474E5">
        <w:t>Cities and communities become more resilient to crisis and social and community insecurities through enhanced community engagement and increased trust between communities and government authorities.</w:t>
      </w:r>
      <w:r w:rsidR="4EB491EA">
        <w:t xml:space="preserve"> </w:t>
      </w:r>
    </w:p>
    <w:p w14:paraId="1E640877" w14:textId="7EA58C20" w:rsidR="00DC2214" w:rsidRDefault="00DC2214" w:rsidP="00CA722C">
      <w:pPr>
        <w:pStyle w:val="CommentText"/>
      </w:pPr>
    </w:p>
    <w:p w14:paraId="2FFDB218" w14:textId="671702E3" w:rsidR="00DC2214" w:rsidRDefault="00DC2214" w:rsidP="00F30454">
      <w:r w:rsidRPr="00DC2214">
        <w:t>Th</w:t>
      </w:r>
      <w:r>
        <w:t xml:space="preserve">e </w:t>
      </w:r>
      <w:r w:rsidR="00F30454">
        <w:t>Outcome</w:t>
      </w:r>
      <w:r w:rsidRPr="00DC2214">
        <w:t xml:space="preserve"> also fall</w:t>
      </w:r>
      <w:r w:rsidR="00F30454">
        <w:t>s</w:t>
      </w:r>
      <w:r w:rsidRPr="00DC2214">
        <w:t xml:space="preserve"> in line with the SDG 16, “Promote peaceful and inclusive societies for sustainable development, provide access to justice for all and build effective, accountable and inclusive institutions at all levels.” </w:t>
      </w:r>
      <w:r>
        <w:t xml:space="preserve">The Outputs 1 and 2 align with the SDG 16 because they work on both institutional and individual levels, with an aim of promoting inclusivity within communities, providing justice by building effective and accountable institutions, which targets enhanced digital literacy and community engagement capacities within Jordan. The project also contributes to trust building between the individuals and governments. </w:t>
      </w:r>
    </w:p>
    <w:p w14:paraId="6623F474" w14:textId="77777777" w:rsidR="003A750E" w:rsidRPr="003A750E" w:rsidRDefault="003A750E" w:rsidP="00820D5B">
      <w:pPr>
        <w:rPr>
          <w:lang w:val="en-US"/>
        </w:rPr>
      </w:pPr>
    </w:p>
    <w:p w14:paraId="3D3FBB7C" w14:textId="51EAB361" w:rsidR="008D7137" w:rsidRDefault="0736CEEC" w:rsidP="008F086B">
      <w:pPr>
        <w:jc w:val="center"/>
      </w:pPr>
      <w:r>
        <w:rPr>
          <w:noProof/>
        </w:rPr>
        <w:lastRenderedPageBreak/>
        <w:drawing>
          <wp:inline distT="0" distB="0" distL="0" distR="0" wp14:anchorId="0755E78B" wp14:editId="5F86C8C4">
            <wp:extent cx="6126480" cy="30632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5">
                      <a:extLst>
                        <a:ext uri="{28A0092B-C50C-407E-A947-70E740481C1C}">
                          <a14:useLocalDpi xmlns:a14="http://schemas.microsoft.com/office/drawing/2010/main" val="0"/>
                        </a:ext>
                      </a:extLst>
                    </a:blip>
                    <a:srcRect l="2298" t="4289" r="2344" b="10947"/>
                    <a:stretch/>
                  </pic:blipFill>
                  <pic:spPr bwMode="auto">
                    <a:xfrm>
                      <a:off x="0" y="0"/>
                      <a:ext cx="6126480" cy="3063240"/>
                    </a:xfrm>
                    <a:prstGeom prst="rect">
                      <a:avLst/>
                    </a:prstGeom>
                    <a:ln>
                      <a:noFill/>
                    </a:ln>
                    <a:extLst>
                      <a:ext uri="{53640926-AAD7-44D8-BBD7-CCE9431645EC}">
                        <a14:shadowObscured xmlns:a14="http://schemas.microsoft.com/office/drawing/2010/main"/>
                      </a:ext>
                    </a:extLst>
                  </pic:spPr>
                </pic:pic>
              </a:graphicData>
            </a:graphic>
          </wp:inline>
        </w:drawing>
      </w:r>
    </w:p>
    <w:p w14:paraId="446E3372" w14:textId="77777777" w:rsidR="00236036" w:rsidRDefault="00236036" w:rsidP="00F919D7"/>
    <w:p w14:paraId="51084708" w14:textId="07686413" w:rsidR="00D83AEC" w:rsidRDefault="25FBBE3F" w:rsidP="00D83AEC">
      <w:r>
        <w:t>The project will contribute to the 2018 – 2022 UNDP Jordan’s Country Programme Document’s outcomes: Outcome 2: People especially the vulnerable proactively claim their rights and fulfil their responsibilities for improved human security and resilience; and Outcome 3: Enhanced opportunities for inclusive engagement of all people living in Jordan within the social, economic, environmental, and political spheres.</w:t>
      </w:r>
      <w:r w:rsidR="00847842">
        <w:t xml:space="preserve"> Further, this project also contributes to Jordan Socio-economic Framework for COVID-19 Response in Jordan.</w:t>
      </w:r>
    </w:p>
    <w:p w14:paraId="564CA51F" w14:textId="55678A79" w:rsidR="00847842" w:rsidRDefault="00847842" w:rsidP="00D83AEC"/>
    <w:p w14:paraId="7A53ED30" w14:textId="2754773C" w:rsidR="00847842" w:rsidRDefault="00847842" w:rsidP="00847842">
      <w:pPr>
        <w:rPr>
          <w:rFonts w:cstheme="minorHAnsi"/>
        </w:rPr>
      </w:pPr>
      <w:r w:rsidRPr="0017169E">
        <w:rPr>
          <w:rFonts w:cstheme="minorHAnsi"/>
          <w:b/>
          <w:bCs/>
        </w:rPr>
        <w:t>Socio-Economic Framework for COVID-19 Response in Jordan</w:t>
      </w:r>
      <w:r w:rsidRPr="0017169E">
        <w:rPr>
          <w:rFonts w:cstheme="minorHAnsi"/>
        </w:rPr>
        <w:t>:</w:t>
      </w:r>
      <w:r>
        <w:rPr>
          <w:rFonts w:cstheme="minorHAnsi"/>
          <w:b/>
          <w:bCs/>
        </w:rPr>
        <w:t xml:space="preserve"> </w:t>
      </w:r>
      <w:r w:rsidRPr="00347032">
        <w:rPr>
          <w:rFonts w:cstheme="minorHAnsi"/>
        </w:rPr>
        <w:t xml:space="preserve">The </w:t>
      </w:r>
      <w:r>
        <w:rPr>
          <w:rFonts w:cstheme="minorHAnsi"/>
        </w:rPr>
        <w:t xml:space="preserve">UN </w:t>
      </w:r>
      <w:r w:rsidRPr="00347032">
        <w:rPr>
          <w:rFonts w:cstheme="minorHAnsi"/>
        </w:rPr>
        <w:t>Framework</w:t>
      </w:r>
      <w:r>
        <w:rPr>
          <w:rFonts w:cstheme="minorHAnsi"/>
        </w:rPr>
        <w:t xml:space="preserve"> </w:t>
      </w:r>
      <w:r w:rsidRPr="00347032">
        <w:rPr>
          <w:rFonts w:cstheme="minorHAnsi"/>
        </w:rPr>
        <w:t>connects urgent health and humanitarian requirements with</w:t>
      </w:r>
      <w:r>
        <w:rPr>
          <w:rFonts w:cstheme="minorHAnsi"/>
        </w:rPr>
        <w:t xml:space="preserve"> </w:t>
      </w:r>
      <w:r w:rsidRPr="00347032">
        <w:rPr>
          <w:rFonts w:cstheme="minorHAnsi"/>
        </w:rPr>
        <w:t>what needs to be done to support Jordan in addressing the</w:t>
      </w:r>
      <w:r>
        <w:rPr>
          <w:rFonts w:cstheme="minorHAnsi"/>
        </w:rPr>
        <w:t xml:space="preserve"> </w:t>
      </w:r>
      <w:r w:rsidRPr="00347032">
        <w:rPr>
          <w:rFonts w:cstheme="minorHAnsi"/>
        </w:rPr>
        <w:t>multiple social and economic challenges that the pandemic has</w:t>
      </w:r>
      <w:r>
        <w:rPr>
          <w:rFonts w:cstheme="minorHAnsi"/>
        </w:rPr>
        <w:t xml:space="preserve"> </w:t>
      </w:r>
      <w:r w:rsidRPr="00347032">
        <w:rPr>
          <w:rFonts w:cstheme="minorHAnsi"/>
        </w:rPr>
        <w:t xml:space="preserve">brought to the </w:t>
      </w:r>
      <w:r>
        <w:rPr>
          <w:rFonts w:cstheme="minorHAnsi"/>
        </w:rPr>
        <w:t>Kingdom</w:t>
      </w:r>
      <w:r w:rsidRPr="00347032">
        <w:rPr>
          <w:rFonts w:cstheme="minorHAnsi"/>
        </w:rPr>
        <w:t>.</w:t>
      </w:r>
      <w:r>
        <w:rPr>
          <w:rFonts w:cstheme="minorHAnsi"/>
        </w:rPr>
        <w:t xml:space="preserve"> It also </w:t>
      </w:r>
      <w:r w:rsidRPr="00347032">
        <w:rPr>
          <w:rFonts w:cstheme="minorHAnsi"/>
        </w:rPr>
        <w:t>outlines impacts and interventions in five</w:t>
      </w:r>
      <w:r>
        <w:rPr>
          <w:rFonts w:cstheme="minorHAnsi"/>
        </w:rPr>
        <w:t xml:space="preserve"> </w:t>
      </w:r>
      <w:r w:rsidRPr="00347032">
        <w:rPr>
          <w:rFonts w:cstheme="minorHAnsi"/>
        </w:rPr>
        <w:t>pillars: 1) Protecting Health; 2) Protecting People; 3) Economic</w:t>
      </w:r>
      <w:r>
        <w:rPr>
          <w:rFonts w:cstheme="minorHAnsi"/>
        </w:rPr>
        <w:t xml:space="preserve"> </w:t>
      </w:r>
      <w:r w:rsidRPr="00347032">
        <w:rPr>
          <w:rFonts w:cstheme="minorHAnsi"/>
        </w:rPr>
        <w:t>Recovery; 4) Macro-economics and Multilateral Cooperation;</w:t>
      </w:r>
      <w:r>
        <w:rPr>
          <w:rFonts w:cstheme="minorHAnsi"/>
        </w:rPr>
        <w:t xml:space="preserve"> </w:t>
      </w:r>
      <w:r w:rsidRPr="00347032">
        <w:rPr>
          <w:rFonts w:cstheme="minorHAnsi"/>
        </w:rPr>
        <w:t xml:space="preserve">and 5) Social Cohesion and Resilience. For each pillar, the impacts of the crisis </w:t>
      </w:r>
      <w:r>
        <w:rPr>
          <w:rFonts w:cstheme="minorHAnsi"/>
        </w:rPr>
        <w:t xml:space="preserve">were assessed </w:t>
      </w:r>
      <w:r w:rsidRPr="00347032">
        <w:rPr>
          <w:rFonts w:cstheme="minorHAnsi"/>
        </w:rPr>
        <w:t>to</w:t>
      </w:r>
      <w:r>
        <w:rPr>
          <w:rFonts w:cstheme="minorHAnsi"/>
        </w:rPr>
        <w:t xml:space="preserve"> </w:t>
      </w:r>
      <w:r w:rsidRPr="00347032">
        <w:rPr>
          <w:rFonts w:cstheme="minorHAnsi"/>
        </w:rPr>
        <w:t>help understand what is needed to simultaneously address</w:t>
      </w:r>
      <w:r>
        <w:rPr>
          <w:rFonts w:cstheme="minorHAnsi"/>
        </w:rPr>
        <w:t xml:space="preserve"> </w:t>
      </w:r>
      <w:r w:rsidRPr="00347032">
        <w:rPr>
          <w:rFonts w:cstheme="minorHAnsi"/>
        </w:rPr>
        <w:t>immediate and medium-term needs.</w:t>
      </w:r>
      <w:r>
        <w:rPr>
          <w:rFonts w:cstheme="minorHAnsi"/>
        </w:rPr>
        <w:t xml:space="preserve"> This project is fully in line with the analyses of the Framework and plans to support some of the “accelerators” to build back better from the crisis, including i) equity and inclusiveness to make sure that new and pre-existing vulnerabilities are addressed; and iii) Digital Transformation that supports innovation and progress in public and social services as well as business and economic initiatives.</w:t>
      </w:r>
    </w:p>
    <w:p w14:paraId="405991BB" w14:textId="77777777" w:rsidR="00902A24" w:rsidRPr="00BF71C3" w:rsidRDefault="00902A24" w:rsidP="00BF13FB">
      <w:pPr>
        <w:rPr>
          <w:lang w:val="en-US"/>
        </w:rPr>
      </w:pPr>
    </w:p>
    <w:p w14:paraId="4738958A" w14:textId="77777777" w:rsidR="00F919D7" w:rsidRPr="00236036" w:rsidRDefault="00D55D40" w:rsidP="00F82BB6">
      <w:pPr>
        <w:pStyle w:val="Heading1"/>
        <w:pBdr>
          <w:top w:val="single" w:sz="4" w:space="0" w:color="auto"/>
        </w:pBdr>
      </w:pPr>
      <w:r w:rsidRPr="00236036">
        <w:t>Results and</w:t>
      </w:r>
      <w:r w:rsidR="00601694" w:rsidRPr="00236036">
        <w:t xml:space="preserve"> Partnerships</w:t>
      </w:r>
      <w:r w:rsidR="00106518" w:rsidRPr="00236036">
        <w:t xml:space="preserve"> </w:t>
      </w:r>
    </w:p>
    <w:p w14:paraId="60CDAA78" w14:textId="77777777" w:rsidR="00106518" w:rsidRDefault="00601694" w:rsidP="002E3481">
      <w:pPr>
        <w:rPr>
          <w:b/>
          <w:i/>
        </w:rPr>
      </w:pPr>
      <w:r w:rsidRPr="00236036">
        <w:rPr>
          <w:b/>
          <w:i/>
        </w:rPr>
        <w:t>Expected Results</w:t>
      </w:r>
    </w:p>
    <w:p w14:paraId="4D11A78B" w14:textId="77777777" w:rsidR="00050A3B" w:rsidRDefault="00050A3B" w:rsidP="00050A3B">
      <w:pPr>
        <w:ind w:left="180"/>
        <w:rPr>
          <w:i/>
        </w:rPr>
      </w:pPr>
    </w:p>
    <w:p w14:paraId="5839FF1D" w14:textId="13A21031" w:rsidR="00A24869" w:rsidRPr="00AB2541" w:rsidRDefault="00A24869" w:rsidP="003D1739">
      <w:pPr>
        <w:pBdr>
          <w:top w:val="single" w:sz="4" w:space="1" w:color="auto"/>
          <w:left w:val="single" w:sz="4" w:space="4" w:color="auto"/>
          <w:bottom w:val="single" w:sz="4" w:space="1" w:color="auto"/>
          <w:right w:val="single" w:sz="4" w:space="4" w:color="auto"/>
        </w:pBdr>
        <w:shd w:val="clear" w:color="auto" w:fill="B4C6E7"/>
        <w:rPr>
          <w:b/>
          <w:iCs/>
        </w:rPr>
      </w:pPr>
      <w:r>
        <w:rPr>
          <w:b/>
          <w:iCs/>
        </w:rPr>
        <w:t xml:space="preserve">Output 1: </w:t>
      </w:r>
      <w:r w:rsidR="003474E5" w:rsidRPr="003474E5">
        <w:rPr>
          <w:b/>
          <w:bCs/>
        </w:rPr>
        <w:t>Digital literacy of national government and vulnerable communities in Jordan are enhanced to build resilience and combat radicalization and prevent extremism</w:t>
      </w:r>
      <w:r w:rsidRPr="00AB2541">
        <w:rPr>
          <w:b/>
          <w:iCs/>
        </w:rPr>
        <w:t>.</w:t>
      </w:r>
    </w:p>
    <w:p w14:paraId="34D3D46A" w14:textId="77777777" w:rsidR="00A24869" w:rsidRPr="00071D33" w:rsidRDefault="00A24869" w:rsidP="00A24869">
      <w:pPr>
        <w:rPr>
          <w:highlight w:val="yellow"/>
        </w:rPr>
      </w:pPr>
    </w:p>
    <w:p w14:paraId="3D88C07F" w14:textId="59FF161B" w:rsidR="00A24869" w:rsidRDefault="77CA795A" w:rsidP="00A24869">
      <w:pPr>
        <w:spacing w:after="0"/>
        <w:rPr>
          <w:rFonts w:cs="Calibri"/>
        </w:rPr>
      </w:pPr>
      <w:r w:rsidRPr="7DF5A6EA">
        <w:rPr>
          <w:rFonts w:cs="Calibri"/>
        </w:rPr>
        <w:t xml:space="preserve">The National Action Plan (NAP) on PVE highlights the importance of implementing PVE activities through coordinating with key stakeholders including relevant government, academia, international community, community organizations and civil society. Since 2017, UNDP has been leading the engagement with national partners as well as community-based organizations (CBOs) and civil society organizations (CSOs) on the PVE-related activities, and in 2018, UNDP launched an online-based Jordan Prevention Platform (JPP) as an innovative knowledge sharing and capacity development network to engage on PVE at all levels in the Kingdom. This activity will further support the Government of Jordan’s efforts in reducing the risk of violent extremism, particularly online and </w:t>
      </w:r>
      <w:r w:rsidR="0754970E" w:rsidRPr="327E4898">
        <w:rPr>
          <w:rFonts w:cs="Calibri"/>
        </w:rPr>
        <w:t>on</w:t>
      </w:r>
      <w:r w:rsidR="00066F14">
        <w:rPr>
          <w:rFonts w:cs="Calibri"/>
        </w:rPr>
        <w:t xml:space="preserve"> </w:t>
      </w:r>
      <w:r w:rsidRPr="327E4898">
        <w:rPr>
          <w:rFonts w:cs="Calibri"/>
        </w:rPr>
        <w:t>social</w:t>
      </w:r>
      <w:r w:rsidRPr="7DF5A6EA">
        <w:rPr>
          <w:rFonts w:cs="Calibri"/>
        </w:rPr>
        <w:t xml:space="preserve"> media. Communication and media play an important role in delivering a message and raising awareness of PVE in a given country. Wrong way of communicating </w:t>
      </w:r>
      <w:r w:rsidR="7F8E1770" w:rsidRPr="5AB0A291">
        <w:rPr>
          <w:rFonts w:cs="Calibri"/>
        </w:rPr>
        <w:t xml:space="preserve">with </w:t>
      </w:r>
      <w:r w:rsidRPr="5AB0A291">
        <w:rPr>
          <w:rFonts w:cs="Calibri"/>
        </w:rPr>
        <w:t>its</w:t>
      </w:r>
      <w:r w:rsidRPr="7DF5A6EA">
        <w:rPr>
          <w:rFonts w:cs="Calibri"/>
        </w:rPr>
        <w:t xml:space="preserve"> citizens can </w:t>
      </w:r>
      <w:r w:rsidRPr="7DF5A6EA">
        <w:rPr>
          <w:rFonts w:cs="Calibri"/>
        </w:rPr>
        <w:lastRenderedPageBreak/>
        <w:t>harm the trust from civil society and could accelerate individuals to support the nongovernmental and/or radicalized view. As part of this activity, UNDP will first provide raising awareness sessions targeting relevant ministries, and eventually provide technical support in developing a strategy</w:t>
      </w:r>
      <w:r w:rsidR="0017169E">
        <w:rPr>
          <w:rFonts w:cs="Calibri"/>
        </w:rPr>
        <w:t>, which is gender- and age-responsive,</w:t>
      </w:r>
      <w:r w:rsidRPr="7DF5A6EA">
        <w:rPr>
          <w:rFonts w:cs="Calibri"/>
        </w:rPr>
        <w:t xml:space="preserve"> in order to reach out to communities in a more effective and strategic way.</w:t>
      </w:r>
    </w:p>
    <w:p w14:paraId="29FFFAF4" w14:textId="0704830E" w:rsidR="007023C4" w:rsidRDefault="007023C4" w:rsidP="00A24869">
      <w:pPr>
        <w:spacing w:after="0"/>
        <w:rPr>
          <w:rFonts w:cs="Calibri"/>
        </w:rPr>
      </w:pPr>
    </w:p>
    <w:p w14:paraId="57FA009A" w14:textId="77777777" w:rsidR="007023C4" w:rsidRDefault="007023C4" w:rsidP="007023C4">
      <w:pPr>
        <w:spacing w:after="0"/>
        <w:jc w:val="left"/>
      </w:pPr>
      <w:r>
        <w:t xml:space="preserve">The outcomes of these activities can inform targets 16.a and 16.6 from SDG 16 which include: </w:t>
      </w:r>
    </w:p>
    <w:p w14:paraId="74EBE471" w14:textId="77777777" w:rsidR="007023C4" w:rsidRDefault="007023C4" w:rsidP="007023C4">
      <w:pPr>
        <w:pStyle w:val="ListParagraph"/>
        <w:numPr>
          <w:ilvl w:val="0"/>
          <w:numId w:val="38"/>
        </w:numPr>
        <w:spacing w:after="0"/>
        <w:jc w:val="left"/>
      </w:pPr>
      <w:r>
        <w:t xml:space="preserve">16.6: </w:t>
      </w:r>
      <w:r w:rsidRPr="00682B77">
        <w:t>Develop effective, accountable and transparent institutions at all levels </w:t>
      </w:r>
    </w:p>
    <w:p w14:paraId="18A7C534" w14:textId="31D6E319" w:rsidR="007023C4" w:rsidRDefault="007023C4" w:rsidP="007023C4">
      <w:pPr>
        <w:pStyle w:val="ListParagraph"/>
        <w:numPr>
          <w:ilvl w:val="0"/>
          <w:numId w:val="38"/>
        </w:numPr>
        <w:spacing w:after="0"/>
        <w:jc w:val="left"/>
      </w:pPr>
      <w:r>
        <w:t xml:space="preserve">16.a: </w:t>
      </w:r>
      <w:r w:rsidRPr="00682B77">
        <w:t>Strengthen relevant national institutions, including through international cooperation, for building capacity at all levels, in particular in developing countries, to prevent violence and combat terrorism and crime</w:t>
      </w:r>
      <w:r>
        <w:t xml:space="preserve">. </w:t>
      </w:r>
    </w:p>
    <w:p w14:paraId="1BD2FA1F" w14:textId="77777777" w:rsidR="007D4289" w:rsidRDefault="007D4289" w:rsidP="007D4289">
      <w:pPr>
        <w:pStyle w:val="ListParagraph"/>
        <w:spacing w:after="0"/>
        <w:jc w:val="left"/>
      </w:pPr>
    </w:p>
    <w:p w14:paraId="5324650F" w14:textId="2E2B7D96" w:rsidR="007023C4" w:rsidRDefault="007023C4" w:rsidP="007023C4">
      <w:pPr>
        <w:spacing w:after="0"/>
        <w:jc w:val="left"/>
        <w:rPr>
          <w:rFonts w:cs="Calibri"/>
          <w:highlight w:val="yellow"/>
        </w:rPr>
      </w:pPr>
      <w:r>
        <w:t xml:space="preserve">As part of the activities below, </w:t>
      </w:r>
      <w:r>
        <w:rPr>
          <w:rFonts w:cs="Calibri"/>
        </w:rPr>
        <w:t>f</w:t>
      </w:r>
      <w:r w:rsidRPr="7DF5A6EA">
        <w:rPr>
          <w:rFonts w:cs="Calibri"/>
        </w:rPr>
        <w:t>urther support</w:t>
      </w:r>
      <w:r>
        <w:rPr>
          <w:rFonts w:cs="Calibri"/>
        </w:rPr>
        <w:t>ing</w:t>
      </w:r>
      <w:r w:rsidRPr="7DF5A6EA">
        <w:rPr>
          <w:rFonts w:cs="Calibri"/>
        </w:rPr>
        <w:t xml:space="preserve"> the Government of Jordan’s efforts in reducing the risk of violent extremism</w:t>
      </w:r>
      <w:r>
        <w:rPr>
          <w:rFonts w:cs="Calibri"/>
        </w:rPr>
        <w:t xml:space="preserve"> and building the capacities of government officers, community leaders and university and college students, will feed into targets 16.6 and 16.a specifically, thus, developing accountable and transparent institutions and preventing violence and combatting terrorism and crime. </w:t>
      </w:r>
    </w:p>
    <w:p w14:paraId="19655485" w14:textId="77777777" w:rsidR="00050A3B" w:rsidRPr="00AB2541" w:rsidRDefault="00050A3B" w:rsidP="00050A3B">
      <w:pPr>
        <w:ind w:left="180"/>
        <w:rPr>
          <w:iCs/>
        </w:rPr>
      </w:pPr>
    </w:p>
    <w:p w14:paraId="5F68445C" w14:textId="77777777" w:rsidR="00050A3B" w:rsidRPr="00AB2541" w:rsidRDefault="006F5B7F" w:rsidP="002E0C37">
      <w:pPr>
        <w:pBdr>
          <w:top w:val="single" w:sz="4" w:space="1" w:color="auto"/>
          <w:left w:val="single" w:sz="4" w:space="4" w:color="auto"/>
          <w:bottom w:val="single" w:sz="4" w:space="1" w:color="auto"/>
          <w:right w:val="single" w:sz="4" w:space="4" w:color="auto"/>
        </w:pBdr>
        <w:shd w:val="clear" w:color="auto" w:fill="DEEAF6"/>
        <w:rPr>
          <w:b/>
          <w:iCs/>
        </w:rPr>
      </w:pPr>
      <w:r w:rsidRPr="00AB2541">
        <w:rPr>
          <w:b/>
          <w:iCs/>
        </w:rPr>
        <w:t xml:space="preserve">Activity 1.1: </w:t>
      </w:r>
      <w:r w:rsidR="00AB2541" w:rsidRPr="00AB2541">
        <w:rPr>
          <w:b/>
          <w:iCs/>
        </w:rPr>
        <w:t>Support the Government of Jordan’ strategic communication in PVE, particularly through media and online communication</w:t>
      </w:r>
      <w:r w:rsidRPr="00AB2541">
        <w:rPr>
          <w:b/>
          <w:iCs/>
        </w:rPr>
        <w:t>.</w:t>
      </w:r>
    </w:p>
    <w:p w14:paraId="3E1379A7" w14:textId="77777777" w:rsidR="00050A3B" w:rsidRPr="00071D33" w:rsidRDefault="00050A3B" w:rsidP="00050A3B">
      <w:pPr>
        <w:ind w:left="180"/>
        <w:rPr>
          <w:b/>
          <w:iCs/>
          <w:highlight w:val="yellow"/>
        </w:rPr>
      </w:pPr>
    </w:p>
    <w:p w14:paraId="0C2EDBA8" w14:textId="7441B8B6" w:rsidR="009A3346" w:rsidRPr="009A3346" w:rsidRDefault="23B86EAF" w:rsidP="00F60099">
      <w:r>
        <w:t>As part of this activity, UNDP is currently negotiating with a Think Tank dedicated to understanding and innovating real-world responses to the rising tide of polarization, hate and extremism of all forms, to start a research about the dynamic trends in online recruitment and spread of extremist messages, and hate speech. This research is expected to shed lights on how extremist groups, particularly Salafi-Jihadism, launched their messaging campaign to recruit citizens, and how Jordanians accessed these messages on Facebook before the COVID-19 lockdown (January – February 2020), during the lockdown (March – May 2020) and aftermath of the COVID-19 pandemic in Jordan (June – December 2020). Building upon this research and lessons learned, UNDP plans to continue mapping out online extremism ecosystem and how it affects Jordan during time</w:t>
      </w:r>
      <w:r w:rsidR="12929A7A">
        <w:t>s</w:t>
      </w:r>
      <w:r>
        <w:t xml:space="preserve"> of crisis like COVID-19. By doing so, UNDP will identify the target population likely to be recruited by the extremist groups and analyze the narrative </w:t>
      </w:r>
      <w:r w:rsidR="009A3346" w:rsidRPr="009A3346">
        <w:rPr>
          <w:bCs/>
          <w:iCs/>
        </w:rPr>
        <w:t>patte</w:t>
      </w:r>
      <w:r w:rsidR="007200A7">
        <w:rPr>
          <w:bCs/>
          <w:iCs/>
        </w:rPr>
        <w:t>r</w:t>
      </w:r>
      <w:r w:rsidR="009A3346" w:rsidRPr="009A3346">
        <w:rPr>
          <w:bCs/>
          <w:iCs/>
        </w:rPr>
        <w:t>ns</w:t>
      </w:r>
      <w:r>
        <w:t xml:space="preserve"> of fake news and radicalized messages that extremist groups prefer to use.</w:t>
      </w:r>
    </w:p>
    <w:p w14:paraId="7CAD634A" w14:textId="77777777" w:rsidR="009D3086" w:rsidRPr="009A3346" w:rsidRDefault="009D3086" w:rsidP="004449A6">
      <w:pPr>
        <w:rPr>
          <w:bCs/>
          <w:iCs/>
        </w:rPr>
      </w:pPr>
    </w:p>
    <w:p w14:paraId="22C714FB" w14:textId="77777777" w:rsidR="00235346" w:rsidRPr="009A3346" w:rsidRDefault="004449A6" w:rsidP="009D3086">
      <w:pPr>
        <w:rPr>
          <w:bCs/>
          <w:iCs/>
        </w:rPr>
      </w:pPr>
      <w:r w:rsidRPr="009A3346">
        <w:rPr>
          <w:bCs/>
          <w:iCs/>
        </w:rPr>
        <w:t xml:space="preserve">UNDP </w:t>
      </w:r>
      <w:r w:rsidR="00A63249" w:rsidRPr="009A3346">
        <w:rPr>
          <w:bCs/>
          <w:iCs/>
        </w:rPr>
        <w:t>will continu</w:t>
      </w:r>
      <w:r w:rsidR="005455A2" w:rsidRPr="009A3346">
        <w:rPr>
          <w:bCs/>
          <w:iCs/>
        </w:rPr>
        <w:t>e to partner with</w:t>
      </w:r>
      <w:r w:rsidR="00A63249" w:rsidRPr="009A3346">
        <w:rPr>
          <w:bCs/>
          <w:iCs/>
        </w:rPr>
        <w:t xml:space="preserve"> </w:t>
      </w:r>
      <w:r w:rsidR="00922BC6" w:rsidRPr="009A3346">
        <w:rPr>
          <w:bCs/>
          <w:iCs/>
        </w:rPr>
        <w:t>the P</w:t>
      </w:r>
      <w:r w:rsidR="00911B3E" w:rsidRPr="009A3346">
        <w:rPr>
          <w:bCs/>
          <w:iCs/>
        </w:rPr>
        <w:t>/C</w:t>
      </w:r>
      <w:r w:rsidR="00922BC6" w:rsidRPr="009A3346">
        <w:rPr>
          <w:bCs/>
          <w:iCs/>
        </w:rPr>
        <w:t xml:space="preserve">VE </w:t>
      </w:r>
      <w:r w:rsidR="00E650BD" w:rsidRPr="009A3346">
        <w:rPr>
          <w:bCs/>
          <w:iCs/>
        </w:rPr>
        <w:t xml:space="preserve">Unit </w:t>
      </w:r>
      <w:r w:rsidR="005455A2" w:rsidRPr="009A3346">
        <w:rPr>
          <w:bCs/>
          <w:iCs/>
        </w:rPr>
        <w:t xml:space="preserve">while implementing its </w:t>
      </w:r>
      <w:r w:rsidR="003E48F7" w:rsidRPr="009A3346">
        <w:rPr>
          <w:bCs/>
          <w:iCs/>
        </w:rPr>
        <w:t>core functions:</w:t>
      </w:r>
      <w:r w:rsidR="005455A2" w:rsidRPr="009A3346">
        <w:rPr>
          <w:bCs/>
          <w:iCs/>
        </w:rPr>
        <w:t xml:space="preserve"> operationalizing the National Action Plan on PVE, organizing </w:t>
      </w:r>
      <w:r w:rsidR="00752B30" w:rsidRPr="009A3346">
        <w:rPr>
          <w:bCs/>
          <w:iCs/>
        </w:rPr>
        <w:t>expert group meetings</w:t>
      </w:r>
      <w:r w:rsidR="003E48F7" w:rsidRPr="009A3346">
        <w:rPr>
          <w:bCs/>
          <w:iCs/>
        </w:rPr>
        <w:t>;</w:t>
      </w:r>
      <w:r w:rsidR="00752B30" w:rsidRPr="009A3346">
        <w:rPr>
          <w:bCs/>
          <w:iCs/>
        </w:rPr>
        <w:t xml:space="preserve"> establ</w:t>
      </w:r>
      <w:r w:rsidR="005455A2" w:rsidRPr="009A3346">
        <w:rPr>
          <w:bCs/>
          <w:iCs/>
        </w:rPr>
        <w:t xml:space="preserve">ishing </w:t>
      </w:r>
      <w:r w:rsidR="00B3467E" w:rsidRPr="009A3346">
        <w:rPr>
          <w:bCs/>
          <w:iCs/>
        </w:rPr>
        <w:t xml:space="preserve">communication, cooperation </w:t>
      </w:r>
      <w:r w:rsidR="00752B30" w:rsidRPr="009A3346">
        <w:rPr>
          <w:bCs/>
          <w:iCs/>
        </w:rPr>
        <w:t xml:space="preserve">and information sharing channels </w:t>
      </w:r>
      <w:r w:rsidR="00235346" w:rsidRPr="009A3346">
        <w:rPr>
          <w:bCs/>
          <w:iCs/>
        </w:rPr>
        <w:t>amongst ministries, civil society and development partners</w:t>
      </w:r>
      <w:r w:rsidR="003E48F7" w:rsidRPr="009A3346">
        <w:rPr>
          <w:bCs/>
          <w:iCs/>
        </w:rPr>
        <w:t>;</w:t>
      </w:r>
      <w:r w:rsidR="00235346" w:rsidRPr="009A3346">
        <w:rPr>
          <w:bCs/>
          <w:iCs/>
        </w:rPr>
        <w:t xml:space="preserve"> </w:t>
      </w:r>
      <w:r w:rsidR="003E48F7" w:rsidRPr="009A3346">
        <w:rPr>
          <w:bCs/>
          <w:iCs/>
        </w:rPr>
        <w:t xml:space="preserve">monitoring and evaluation; capacity building; outreach; </w:t>
      </w:r>
      <w:r w:rsidR="00B3467E" w:rsidRPr="009A3346">
        <w:rPr>
          <w:bCs/>
          <w:iCs/>
        </w:rPr>
        <w:t>and</w:t>
      </w:r>
      <w:r w:rsidR="003E48F7" w:rsidRPr="009A3346">
        <w:rPr>
          <w:bCs/>
          <w:iCs/>
        </w:rPr>
        <w:t xml:space="preserve"> the</w:t>
      </w:r>
      <w:r w:rsidR="00B3467E" w:rsidRPr="009A3346">
        <w:rPr>
          <w:bCs/>
          <w:iCs/>
        </w:rPr>
        <w:t xml:space="preserve"> biannual NAP update</w:t>
      </w:r>
      <w:r w:rsidR="00FB22DD" w:rsidRPr="009A3346">
        <w:rPr>
          <w:bCs/>
          <w:iCs/>
        </w:rPr>
        <w:t xml:space="preserve">. </w:t>
      </w:r>
      <w:r w:rsidR="009A3346" w:rsidRPr="009A3346">
        <w:rPr>
          <w:bCs/>
          <w:iCs/>
        </w:rPr>
        <w:t xml:space="preserve">Further, UNDP will help the Unit to develop the Government of Jordan’s communication strategy in reducing the risk of online recruitment of extremism and radicalization. </w:t>
      </w:r>
    </w:p>
    <w:p w14:paraId="4A7CA7D7" w14:textId="77777777" w:rsidR="00752B30" w:rsidRDefault="00752B30" w:rsidP="004449A6">
      <w:pPr>
        <w:rPr>
          <w:bCs/>
          <w:iCs/>
        </w:rPr>
      </w:pPr>
    </w:p>
    <w:p w14:paraId="2B3FC7F6" w14:textId="3A55C6D4" w:rsidR="00BD4E21" w:rsidRPr="00AC437E" w:rsidRDefault="085D0B55" w:rsidP="0017169E">
      <w:pPr>
        <w:pBdr>
          <w:top w:val="single" w:sz="4" w:space="1" w:color="auto"/>
          <w:left w:val="single" w:sz="4" w:space="4" w:color="auto"/>
          <w:bottom w:val="single" w:sz="4" w:space="1" w:color="auto"/>
          <w:right w:val="single" w:sz="4" w:space="4" w:color="auto"/>
        </w:pBdr>
        <w:shd w:val="clear" w:color="auto" w:fill="DEEAF6" w:themeFill="accent5" w:themeFillTint="33"/>
        <w:rPr>
          <w:b/>
          <w:bCs/>
        </w:rPr>
      </w:pPr>
      <w:r w:rsidRPr="7DF5A6EA">
        <w:rPr>
          <w:b/>
          <w:bCs/>
        </w:rPr>
        <w:t xml:space="preserve">Activity 1.2: </w:t>
      </w:r>
      <w:r w:rsidR="6B2AE314" w:rsidRPr="7DF5A6EA">
        <w:rPr>
          <w:b/>
          <w:bCs/>
        </w:rPr>
        <w:t>Building capacity of government officers</w:t>
      </w:r>
      <w:r w:rsidR="0017169E">
        <w:rPr>
          <w:b/>
          <w:bCs/>
        </w:rPr>
        <w:t>, community leaders</w:t>
      </w:r>
      <w:r w:rsidR="00DF49AA">
        <w:rPr>
          <w:b/>
          <w:bCs/>
        </w:rPr>
        <w:t>,</w:t>
      </w:r>
      <w:r w:rsidR="6B2AE314" w:rsidRPr="7DF5A6EA">
        <w:rPr>
          <w:b/>
          <w:bCs/>
        </w:rPr>
        <w:t xml:space="preserve"> and </w:t>
      </w:r>
      <w:r w:rsidR="00DF49AA">
        <w:rPr>
          <w:b/>
          <w:bCs/>
        </w:rPr>
        <w:t xml:space="preserve">university and college </w:t>
      </w:r>
      <w:r w:rsidR="6B2AE314" w:rsidRPr="7DF5A6EA">
        <w:rPr>
          <w:b/>
          <w:bCs/>
        </w:rPr>
        <w:t>students to understand the role of social media and communications in PVE</w:t>
      </w:r>
      <w:r w:rsidRPr="7DF5A6EA">
        <w:rPr>
          <w:b/>
          <w:bCs/>
        </w:rPr>
        <w:t>.</w:t>
      </w:r>
    </w:p>
    <w:p w14:paraId="48E6EE93" w14:textId="77777777" w:rsidR="00501CBD" w:rsidRPr="00071D33" w:rsidRDefault="00501CBD" w:rsidP="00BD4E21">
      <w:pPr>
        <w:rPr>
          <w:b/>
          <w:iCs/>
          <w:highlight w:val="yellow"/>
        </w:rPr>
      </w:pPr>
    </w:p>
    <w:p w14:paraId="5E5B5ECF" w14:textId="0A5ED2A9" w:rsidR="009A3346" w:rsidRPr="009A3346" w:rsidRDefault="009A3346" w:rsidP="009A3346">
      <w:pPr>
        <w:rPr>
          <w:bCs/>
          <w:iCs/>
        </w:rPr>
      </w:pPr>
      <w:r w:rsidRPr="009A3346">
        <w:rPr>
          <w:bCs/>
          <w:iCs/>
        </w:rPr>
        <w:t>Activity 1.2 is envisaged to build capacity of producers of media and social media, instead of viewers, to ensure comprehensive approach in the media environment. By targeting government officials at the Ministry of Media, they will be more aware of the effect of radicalized messages and how to identify them to block</w:t>
      </w:r>
      <w:r w:rsidR="38ECE9FD">
        <w:t xml:space="preserve"> them</w:t>
      </w:r>
      <w:r w:rsidRPr="009A3346">
        <w:rPr>
          <w:bCs/>
          <w:iCs/>
        </w:rPr>
        <w:t xml:space="preserve">, if possible. </w:t>
      </w:r>
      <w:r w:rsidR="00DC6262">
        <w:rPr>
          <w:bCs/>
          <w:iCs/>
        </w:rPr>
        <w:t xml:space="preserve">The possibilities will be explored of using an AI bot to monitor hate speech online, which has already been piloted in Tunisia and could be transferred to Jordan. </w:t>
      </w:r>
      <w:r w:rsidRPr="009A3346">
        <w:rPr>
          <w:bCs/>
          <w:iCs/>
        </w:rPr>
        <w:t>It is also important to train them in producing media contents with counter narratives. Further, by holding lectures and seminars to target students at media colleges about PVE, overall media and social media contents in Jordan will be likely to have stronger messages in PVE in the near future.</w:t>
      </w:r>
    </w:p>
    <w:p w14:paraId="72510A21" w14:textId="77777777" w:rsidR="009A3346" w:rsidRPr="009A3346" w:rsidRDefault="009A3346" w:rsidP="009A3346">
      <w:pPr>
        <w:rPr>
          <w:bCs/>
          <w:iCs/>
        </w:rPr>
      </w:pPr>
    </w:p>
    <w:p w14:paraId="29FE9983" w14:textId="5DBD6FDD" w:rsidR="009A3346" w:rsidRDefault="23B86EAF" w:rsidP="009A3346">
      <w:r>
        <w:t xml:space="preserve">Further, as part of JSB2018 project, UNDP Jordan produced a set of PVE training manuals to cover various topics including media information literacy, arts and sports, community dialogue, empowering youth, and gender equality. Based on the research results and findings as a result of </w:t>
      </w:r>
      <w:r>
        <w:lastRenderedPageBreak/>
        <w:t xml:space="preserve">Activity 1.1, UNDP will finetune the PVE training manuals covering media information literacy and empowering youth, and provide a series of capacity building training. Also, where needed, UNDP Jordan will equip the </w:t>
      </w:r>
      <w:r w:rsidR="23A43497">
        <w:t>community</w:t>
      </w:r>
      <w:r>
        <w:t xml:space="preserve"> centers in targeted communities so that vulnerable </w:t>
      </w:r>
      <w:r w:rsidR="00DC6262">
        <w:t xml:space="preserve">groups including refuges </w:t>
      </w:r>
      <w:r>
        <w:t>have improved access to digital content. By doing so, participants will have a higher capacity in digital literacy and will be aware of the effect of radicalized messages and media content.</w:t>
      </w:r>
    </w:p>
    <w:p w14:paraId="27540471" w14:textId="77777777" w:rsidR="009117E1" w:rsidRDefault="009A3346" w:rsidP="009A3346">
      <w:pPr>
        <w:rPr>
          <w:bCs/>
          <w:iCs/>
        </w:rPr>
      </w:pPr>
      <w:r>
        <w:rPr>
          <w:bCs/>
          <w:iCs/>
        </w:rPr>
        <w:t xml:space="preserve"> </w:t>
      </w:r>
    </w:p>
    <w:p w14:paraId="5D3B3253" w14:textId="77777777" w:rsidR="00050A3B" w:rsidRPr="006E10DF" w:rsidRDefault="6889B453" w:rsidP="0017169E">
      <w:pPr>
        <w:pBdr>
          <w:top w:val="single" w:sz="4" w:space="1" w:color="auto"/>
          <w:left w:val="single" w:sz="4" w:space="4" w:color="auto"/>
          <w:bottom w:val="single" w:sz="4" w:space="1" w:color="auto"/>
          <w:right w:val="single" w:sz="4" w:space="4" w:color="auto"/>
        </w:pBdr>
        <w:shd w:val="clear" w:color="auto" w:fill="DEEAF6" w:themeFill="accent5" w:themeFillTint="33"/>
        <w:rPr>
          <w:b/>
          <w:bCs/>
        </w:rPr>
      </w:pPr>
      <w:bookmarkStart w:id="0" w:name="_Hlk535405920"/>
      <w:r w:rsidRPr="7DF5A6EA">
        <w:rPr>
          <w:b/>
          <w:bCs/>
        </w:rPr>
        <w:t xml:space="preserve">Activity 1.3: </w:t>
      </w:r>
      <w:r w:rsidR="722D2ECB" w:rsidRPr="7DF5A6EA">
        <w:rPr>
          <w:b/>
          <w:bCs/>
        </w:rPr>
        <w:t>Addressing digital literacy of youth and vulnerable men and women to combat radicalization</w:t>
      </w:r>
      <w:r w:rsidRPr="7DF5A6EA">
        <w:rPr>
          <w:b/>
          <w:bCs/>
        </w:rPr>
        <w:t>.</w:t>
      </w:r>
    </w:p>
    <w:p w14:paraId="43067ABC" w14:textId="77777777" w:rsidR="00736D3A" w:rsidRPr="004B6BB9" w:rsidRDefault="00736D3A" w:rsidP="00882519">
      <w:pPr>
        <w:rPr>
          <w:b/>
          <w:iCs/>
          <w:highlight w:val="yellow"/>
        </w:rPr>
      </w:pPr>
    </w:p>
    <w:p w14:paraId="5CDF03B3" w14:textId="3DE40143" w:rsidR="00E87466" w:rsidRDefault="6E41A8E4" w:rsidP="00E87466">
      <w:pPr>
        <w:autoSpaceDE w:val="0"/>
        <w:autoSpaceDN w:val="0"/>
      </w:pPr>
      <w:r>
        <w:t>UNDP started to implement a Digital Landscape Assessment (DLA), with the assistance of UNDP Regional Hub in Amman and the Estonian Academy and in partnership with the Ministry of Digital Economy and Entrepreneurship (MoDEE) and Ministry of Local Development (MoLA). DLA encompasses three assessments, which will be assembled to provide the baseline for a nationwide digital intervention and a guiding tool in the digital transformation process at local level:</w:t>
      </w:r>
    </w:p>
    <w:p w14:paraId="729DD8C5" w14:textId="77777777" w:rsidR="00E87466" w:rsidRDefault="00E87466" w:rsidP="00E87466">
      <w:pPr>
        <w:autoSpaceDE w:val="0"/>
        <w:autoSpaceDN w:val="0"/>
      </w:pPr>
      <w:r>
        <w:t xml:space="preserve"> </w:t>
      </w:r>
    </w:p>
    <w:p w14:paraId="7DDA1EF8" w14:textId="3120E684" w:rsidR="00E87466" w:rsidRDefault="00E87466" w:rsidP="00E87466">
      <w:pPr>
        <w:pStyle w:val="ListParagraph"/>
        <w:numPr>
          <w:ilvl w:val="0"/>
          <w:numId w:val="37"/>
        </w:numPr>
        <w:autoSpaceDE w:val="0"/>
        <w:autoSpaceDN w:val="0"/>
      </w:pPr>
      <w:r>
        <w:t>First, DLA will provide a snapshot of the SDG/ digital landscape profile, while undergoing a gap analysis with recommendations;</w:t>
      </w:r>
    </w:p>
    <w:p w14:paraId="74ADA3BF" w14:textId="21A15003" w:rsidR="00E87466" w:rsidRDefault="00E87466" w:rsidP="00E87466">
      <w:pPr>
        <w:pStyle w:val="ListParagraph"/>
        <w:numPr>
          <w:ilvl w:val="0"/>
          <w:numId w:val="37"/>
        </w:numPr>
        <w:autoSpaceDE w:val="0"/>
        <w:autoSpaceDN w:val="0"/>
      </w:pPr>
      <w:r>
        <w:t>Second, an Accelerator and Bottleneck Assessment will identify digital solutions to SDG acceleration.</w:t>
      </w:r>
    </w:p>
    <w:p w14:paraId="693688CD" w14:textId="1F87FE90" w:rsidR="00E87466" w:rsidRDefault="6E41A8E4" w:rsidP="00704184">
      <w:pPr>
        <w:pStyle w:val="ListParagraph"/>
        <w:numPr>
          <w:ilvl w:val="0"/>
          <w:numId w:val="37"/>
        </w:numPr>
        <w:autoSpaceDE w:val="0"/>
        <w:autoSpaceDN w:val="0"/>
      </w:pPr>
      <w:r>
        <w:t>Last, Digital Maturity Assessment (DMA) covers a survey to determine the digital maturity level and providing actionable recommendations.</w:t>
      </w:r>
    </w:p>
    <w:p w14:paraId="4C6F0B95" w14:textId="77777777" w:rsidR="00E87466" w:rsidRDefault="00E87466" w:rsidP="003B183A">
      <w:pPr>
        <w:autoSpaceDE w:val="0"/>
        <w:autoSpaceDN w:val="0"/>
      </w:pPr>
    </w:p>
    <w:p w14:paraId="28D41EA1" w14:textId="1AB8E7F3" w:rsidR="00E87466" w:rsidRDefault="00A34DB7" w:rsidP="00E87466">
      <w:pPr>
        <w:autoSpaceDE w:val="0"/>
        <w:autoSpaceDN w:val="0"/>
      </w:pPr>
      <w:r>
        <w:t xml:space="preserve">Building on the efforts of the DLA, UNDP aims to conduct a complementary assessment to provide insights of the community perspective with regards to the digital transformation process in Jordan. The DLA provides a profile of Jordan from the policy perspective. With the findings of the DLA and this complementary assessment, </w:t>
      </w:r>
      <w:r w:rsidR="6E41A8E4">
        <w:t xml:space="preserve">UNDP plans to </w:t>
      </w:r>
      <w:r>
        <w:t xml:space="preserve">map out community needs and </w:t>
      </w:r>
      <w:r w:rsidR="6E41A8E4">
        <w:t xml:space="preserve">organize various capacity building training to improve digital literacy of vulnerable community members including young men and women, </w:t>
      </w:r>
      <w:r w:rsidR="0017169E">
        <w:t xml:space="preserve">community leaders, </w:t>
      </w:r>
      <w:r w:rsidR="6E41A8E4">
        <w:t xml:space="preserve">refugees and gender-based violence (GBV) survivors. </w:t>
      </w:r>
    </w:p>
    <w:p w14:paraId="02664790" w14:textId="77777777" w:rsidR="00E87466" w:rsidRDefault="00E87466" w:rsidP="003B183A">
      <w:pPr>
        <w:autoSpaceDE w:val="0"/>
        <w:autoSpaceDN w:val="0"/>
      </w:pPr>
    </w:p>
    <w:p w14:paraId="3859CF1E" w14:textId="5FC42257" w:rsidR="003B183A" w:rsidRDefault="7E6E3186" w:rsidP="003B183A">
      <w:pPr>
        <w:autoSpaceDE w:val="0"/>
        <w:autoSpaceDN w:val="0"/>
      </w:pPr>
      <w:r>
        <w:t>D</w:t>
      </w:r>
      <w:r w:rsidR="23B86EAF">
        <w:t xml:space="preserve">igital skills building for youth will focus on providing beneficiaries with the skills necessary to better integrate into the labor market and to enhance opportunities for sustainable income generation. The proposed training will equip youth with the skills and resources to enhance self-reliance through formal employment or entrepreneurial activity. </w:t>
      </w:r>
    </w:p>
    <w:p w14:paraId="38DED0FE" w14:textId="77777777" w:rsidR="009A3346" w:rsidRDefault="009A3346" w:rsidP="009A3346">
      <w:pPr>
        <w:autoSpaceDE w:val="0"/>
        <w:autoSpaceDN w:val="0"/>
      </w:pPr>
    </w:p>
    <w:p w14:paraId="41E4E551" w14:textId="6B372345" w:rsidR="00C049B4" w:rsidRDefault="17CB26DF" w:rsidP="009A3346">
      <w:pPr>
        <w:autoSpaceDE w:val="0"/>
        <w:autoSpaceDN w:val="0"/>
      </w:pPr>
      <w:r>
        <w:t>Particularly</w:t>
      </w:r>
      <w:r w:rsidR="69CF15FF">
        <w:t>, a</w:t>
      </w:r>
      <w:r w:rsidR="23B86EAF">
        <w:t xml:space="preserve">ddressing digital literacy of youth, vulnerable men and women to combat radicalization is envisaged through inclusive digital livelihoods that will </w:t>
      </w:r>
      <w:r w:rsidR="5694588B">
        <w:t>empower</w:t>
      </w:r>
      <w:r w:rsidR="23B86EAF">
        <w:t xml:space="preserve"> </w:t>
      </w:r>
      <w:r w:rsidR="69CF15FF">
        <w:t xml:space="preserve">vulnerable community members, including </w:t>
      </w:r>
      <w:r w:rsidR="23B86EAF">
        <w:t>women, youth and refugees</w:t>
      </w:r>
      <w:r>
        <w:t xml:space="preserve">. This type of training aims at improving </w:t>
      </w:r>
      <w:r w:rsidR="23B86EAF">
        <w:t xml:space="preserve">their digital literacy </w:t>
      </w:r>
      <w:r>
        <w:t>by participating in</w:t>
      </w:r>
      <w:r w:rsidR="23B86EAF">
        <w:t xml:space="preserve"> bootcamps and intensive training on web development, frontend web design, web and applications content development, coding and interpretation that enhances self-learning and de-radicalize content. Training will also </w:t>
      </w:r>
      <w:r w:rsidR="69CF15FF">
        <w:t>promot</w:t>
      </w:r>
      <w:r>
        <w:t>e</w:t>
      </w:r>
      <w:r w:rsidR="69CF15FF">
        <w:t xml:space="preserve"> </w:t>
      </w:r>
      <w:r w:rsidR="23B86EAF">
        <w:t xml:space="preserve">inclusive digital livelihoods and self-employment </w:t>
      </w:r>
      <w:r>
        <w:t xml:space="preserve">through </w:t>
      </w:r>
      <w:r w:rsidR="23B86EAF">
        <w:t>online vocation</w:t>
      </w:r>
      <w:r w:rsidR="69CF15FF">
        <w:t xml:space="preserve">al training. </w:t>
      </w:r>
      <w:r>
        <w:t xml:space="preserve">By offering various sessions (i.e. </w:t>
      </w:r>
      <w:r w:rsidR="23B86EAF">
        <w:t>English language</w:t>
      </w:r>
      <w:r w:rsidR="69CF15FF">
        <w:t xml:space="preserve"> training for </w:t>
      </w:r>
      <w:r w:rsidR="00066F14">
        <w:t xml:space="preserve">coding </w:t>
      </w:r>
      <w:r w:rsidR="69CF15FF">
        <w:t>purpose</w:t>
      </w:r>
      <w:r w:rsidR="23B86EAF">
        <w:t>, graphics and web</w:t>
      </w:r>
      <w:r w:rsidR="69CF15FF">
        <w:t xml:space="preserve"> developers’</w:t>
      </w:r>
      <w:r w:rsidR="23B86EAF">
        <w:t xml:space="preserve"> soft skills</w:t>
      </w:r>
      <w:r w:rsidR="69CF15FF">
        <w:t>, and d</w:t>
      </w:r>
      <w:r w:rsidR="23B86EAF">
        <w:t>igital literacy interventions</w:t>
      </w:r>
      <w:r>
        <w:t>), the training</w:t>
      </w:r>
      <w:r w:rsidR="23B86EAF">
        <w:t xml:space="preserve"> will </w:t>
      </w:r>
      <w:r>
        <w:t>capaci</w:t>
      </w:r>
      <w:r w:rsidR="58F98AE0">
        <w:t>t</w:t>
      </w:r>
      <w:r>
        <w:t>ate</w:t>
      </w:r>
      <w:r w:rsidR="23B86EAF">
        <w:t xml:space="preserve"> 200 </w:t>
      </w:r>
      <w:r w:rsidR="69CF15FF">
        <w:t>beneficiaries</w:t>
      </w:r>
      <w:r>
        <w:t xml:space="preserve"> including</w:t>
      </w:r>
      <w:r w:rsidR="69CF15FF">
        <w:t xml:space="preserve"> young men and </w:t>
      </w:r>
      <w:r w:rsidR="23B86EAF">
        <w:t>women, refugees and Jordanians from host community</w:t>
      </w:r>
      <w:r>
        <w:t>. W</w:t>
      </w:r>
      <w:r w:rsidR="69CF15FF">
        <w:t>ith a preference to those from communities with</w:t>
      </w:r>
      <w:r w:rsidR="23B86EAF">
        <w:t xml:space="preserve"> high percentage of unemployment </w:t>
      </w:r>
      <w:r w:rsidR="69CF15FF">
        <w:t>rate</w:t>
      </w:r>
      <w:r>
        <w:t xml:space="preserve">, </w:t>
      </w:r>
      <w:r w:rsidR="69CF15FF">
        <w:t xml:space="preserve">young men and women who aspire to improve their skills </w:t>
      </w:r>
      <w:r>
        <w:t xml:space="preserve">and </w:t>
      </w:r>
      <w:r w:rsidR="69CF15FF">
        <w:t>to join the digital economy are welcome.</w:t>
      </w:r>
    </w:p>
    <w:p w14:paraId="125E3285" w14:textId="42C4D7B5" w:rsidR="003B183A" w:rsidRDefault="003B183A" w:rsidP="009A3346">
      <w:pPr>
        <w:autoSpaceDE w:val="0"/>
        <w:autoSpaceDN w:val="0"/>
      </w:pPr>
    </w:p>
    <w:p w14:paraId="0DFE32E1" w14:textId="7B6F05E4" w:rsidR="003B183A" w:rsidRDefault="7E6E3186" w:rsidP="003B183A">
      <w:pPr>
        <w:autoSpaceDE w:val="0"/>
        <w:autoSpaceDN w:val="0"/>
      </w:pPr>
      <w:r>
        <w:t xml:space="preserve">Also, GBV plays an important role in violent extremism as women have played roles as both preventers and perpetrators. </w:t>
      </w:r>
      <w:r w:rsidR="00C2745B">
        <w:t xml:space="preserve">As </w:t>
      </w:r>
      <w:r w:rsidR="79F38336">
        <w:t>COVID-19 crisis increased the risk of GBV in the Kingdom</w:t>
      </w:r>
      <w:r w:rsidR="00FC1132">
        <w:rPr>
          <w:rStyle w:val="FootnoteReference"/>
        </w:rPr>
        <w:footnoteReference w:id="17"/>
      </w:r>
      <w:r w:rsidR="79F38336">
        <w:t xml:space="preserve">. </w:t>
      </w:r>
      <w:r w:rsidR="002B3138">
        <w:t xml:space="preserve">In 2020, </w:t>
      </w:r>
      <w:r w:rsidR="003B183A">
        <w:t xml:space="preserve">UNDP </w:t>
      </w:r>
      <w:r w:rsidR="002B3138">
        <w:t xml:space="preserve">implemented a </w:t>
      </w:r>
      <w:r w:rsidR="007E4A29">
        <w:t xml:space="preserve">Rapid Response Facility project </w:t>
      </w:r>
      <w:r w:rsidR="002B3138">
        <w:t xml:space="preserve">to </w:t>
      </w:r>
      <w:r w:rsidR="007E4A29">
        <w:t xml:space="preserve">address the digital gender divide among women at risk and GBV survivors and piloted innovative methods for women at risk and GBV </w:t>
      </w:r>
      <w:r w:rsidR="007E4A29">
        <w:lastRenderedPageBreak/>
        <w:t xml:space="preserve">survivors to seek help. </w:t>
      </w:r>
      <w:r w:rsidR="00D12E12">
        <w:t>B</w:t>
      </w:r>
      <w:r w:rsidR="007E4A29">
        <w:t>uild</w:t>
      </w:r>
      <w:r w:rsidR="00D12E12">
        <w:t>ing</w:t>
      </w:r>
      <w:r w:rsidR="007E4A29">
        <w:t xml:space="preserve"> on this initiative</w:t>
      </w:r>
      <w:r w:rsidR="00D12E12">
        <w:t>,</w:t>
      </w:r>
      <w:r w:rsidR="007E4A29">
        <w:t xml:space="preserve"> </w:t>
      </w:r>
      <w:r w:rsidR="00D12E12">
        <w:t xml:space="preserve">UNDP will also try to </w:t>
      </w:r>
      <w:r w:rsidR="003B183A">
        <w:t xml:space="preserve">develop overall digital literacy skills </w:t>
      </w:r>
      <w:r w:rsidR="00D12E12">
        <w:t xml:space="preserve">of GBV survivors so </w:t>
      </w:r>
      <w:r w:rsidR="003B183A">
        <w:t xml:space="preserve">that </w:t>
      </w:r>
      <w:r w:rsidR="00D12E12">
        <w:t xml:space="preserve">they </w:t>
      </w:r>
      <w:r w:rsidR="003B183A">
        <w:t xml:space="preserve">will </w:t>
      </w:r>
      <w:r w:rsidR="00D12E12">
        <w:t xml:space="preserve">have </w:t>
      </w:r>
      <w:r w:rsidR="003B183A">
        <w:t>improve</w:t>
      </w:r>
      <w:r w:rsidR="00D12E12">
        <w:t>d</w:t>
      </w:r>
      <w:r w:rsidR="003B183A">
        <w:t xml:space="preserve"> economic opportunities</w:t>
      </w:r>
      <w:r w:rsidR="00C2745B">
        <w:t xml:space="preserve"> </w:t>
      </w:r>
      <w:r w:rsidR="003B183A">
        <w:t>linked to the private sector</w:t>
      </w:r>
      <w:r w:rsidR="00C2745B">
        <w:t>.</w:t>
      </w:r>
    </w:p>
    <w:p w14:paraId="3767D90B" w14:textId="77777777" w:rsidR="00C049B4" w:rsidRDefault="00C049B4" w:rsidP="009A3346">
      <w:pPr>
        <w:autoSpaceDE w:val="0"/>
        <w:autoSpaceDN w:val="0"/>
      </w:pPr>
    </w:p>
    <w:p w14:paraId="5704770B" w14:textId="3042345C" w:rsidR="009A3346" w:rsidRDefault="17CB26DF" w:rsidP="009A3346">
      <w:pPr>
        <w:autoSpaceDE w:val="0"/>
        <w:autoSpaceDN w:val="0"/>
      </w:pPr>
      <w:r>
        <w:t>It is important to note that t</w:t>
      </w:r>
      <w:r w:rsidR="23B86EAF">
        <w:t xml:space="preserve">he digital bootcamps will be leveraged through </w:t>
      </w:r>
      <w:r w:rsidR="69CF15FF">
        <w:t xml:space="preserve">and </w:t>
      </w:r>
      <w:r w:rsidR="36D4D69D">
        <w:t>are</w:t>
      </w:r>
      <w:r w:rsidR="69CF15FF">
        <w:t xml:space="preserve"> envisaged to be organized at </w:t>
      </w:r>
      <w:r w:rsidR="23B86EAF">
        <w:t>the “Social Entrepreneurship Center Hub”</w:t>
      </w:r>
      <w:r w:rsidR="69CF15FF">
        <w:t xml:space="preserve"> in Amman</w:t>
      </w:r>
      <w:r w:rsidR="23B86EAF">
        <w:t xml:space="preserve">, </w:t>
      </w:r>
      <w:r w:rsidR="69CF15FF">
        <w:t xml:space="preserve">which was successfully built thanks to JSB2018 contribution. In addition to the training sessions to be organized, UNDP plans to further support the beneficiaries by providing mentorship </w:t>
      </w:r>
      <w:r w:rsidR="0A7708C5">
        <w:t xml:space="preserve">from the </w:t>
      </w:r>
      <w:r w:rsidR="23B86EAF">
        <w:t>incubator</w:t>
      </w:r>
      <w:r w:rsidR="0A7708C5">
        <w:t xml:space="preserve"> already established from the </w:t>
      </w:r>
      <w:r>
        <w:t>s</w:t>
      </w:r>
      <w:r w:rsidR="23B86EAF">
        <w:t xml:space="preserve">ocial </w:t>
      </w:r>
      <w:r w:rsidR="09D63956">
        <w:t>start-ups</w:t>
      </w:r>
      <w:r w:rsidR="23B86EAF">
        <w:t xml:space="preserve"> and entrepreneurs</w:t>
      </w:r>
      <w:r>
        <w:t xml:space="preserve"> previously participated in JSB2018-supported Heart of Amman interventions</w:t>
      </w:r>
      <w:r w:rsidR="23B86EAF">
        <w:t>. The trained beneficiaries will become advocates and role models for de-radicalization through digital literacy, skills for the future and innovation. In parallel</w:t>
      </w:r>
      <w:r>
        <w:t>,</w:t>
      </w:r>
      <w:r w:rsidR="1903E136">
        <w:t xml:space="preserve"> </w:t>
      </w:r>
      <w:r w:rsidR="2780EBD2">
        <w:t>partnering</w:t>
      </w:r>
      <w:r w:rsidR="23B86EAF">
        <w:t xml:space="preserve"> with the Ministry of Digital Economy and Entrepreneurship </w:t>
      </w:r>
      <w:r w:rsidR="2780EBD2">
        <w:t xml:space="preserve">(MoDEE), UNDP will organize trainings on </w:t>
      </w:r>
      <w:r w:rsidR="23B86EAF">
        <w:t>how to programme</w:t>
      </w:r>
      <w:r w:rsidR="1903E136">
        <w:t xml:space="preserve"> </w:t>
      </w:r>
      <w:r w:rsidR="23B86EAF">
        <w:t xml:space="preserve">design and replicate similar digital literacy programs in other cities and towns through its network and cluster of incubators and </w:t>
      </w:r>
      <w:r w:rsidR="35ED7158">
        <w:t>start up</w:t>
      </w:r>
      <w:r w:rsidR="23B86EAF">
        <w:t xml:space="preserve"> accelerators.</w:t>
      </w:r>
    </w:p>
    <w:p w14:paraId="66FF5BA4" w14:textId="77777777" w:rsidR="009A3346" w:rsidRPr="004B6BB9" w:rsidRDefault="009A3346" w:rsidP="009A3346">
      <w:pPr>
        <w:autoSpaceDE w:val="0"/>
        <w:autoSpaceDN w:val="0"/>
        <w:rPr>
          <w:rFonts w:cs="Calibri"/>
          <w:highlight w:val="yellow"/>
        </w:rPr>
      </w:pPr>
    </w:p>
    <w:p w14:paraId="5467CECD" w14:textId="6EE7D288" w:rsidR="006842C4" w:rsidRDefault="00A24869" w:rsidP="003D1739">
      <w:pPr>
        <w:pBdr>
          <w:top w:val="single" w:sz="4" w:space="1" w:color="auto"/>
          <w:left w:val="single" w:sz="4" w:space="4" w:color="auto"/>
          <w:bottom w:val="single" w:sz="4" w:space="1" w:color="auto"/>
          <w:right w:val="single" w:sz="4" w:space="4" w:color="auto"/>
        </w:pBdr>
        <w:shd w:val="clear" w:color="auto" w:fill="BDD6EE"/>
        <w:rPr>
          <w:bCs/>
          <w:iCs/>
        </w:rPr>
      </w:pPr>
      <w:r>
        <w:rPr>
          <w:b/>
          <w:iCs/>
        </w:rPr>
        <w:t>Output</w:t>
      </w:r>
      <w:r w:rsidRPr="008C036D">
        <w:rPr>
          <w:b/>
          <w:iCs/>
        </w:rPr>
        <w:t xml:space="preserve"> 2: </w:t>
      </w:r>
      <w:r>
        <w:rPr>
          <w:b/>
          <w:iCs/>
        </w:rPr>
        <w:t>Cities and communities become more resilient to crisis and social and community insecurities through enhanced community engagement and increased trust between communities and government authorities.</w:t>
      </w:r>
    </w:p>
    <w:p w14:paraId="5EDF2BAA" w14:textId="77777777" w:rsidR="007F52DF" w:rsidRDefault="007F52DF" w:rsidP="007F52DF">
      <w:bookmarkStart w:id="1" w:name="_Hlk535216745"/>
      <w:bookmarkEnd w:id="0"/>
    </w:p>
    <w:p w14:paraId="34F9B3FE" w14:textId="77609200" w:rsidR="00044EDA" w:rsidRDefault="007F52DF" w:rsidP="007F52DF">
      <w:r>
        <w:t xml:space="preserve">Due to the widespread of COVID-19 and the Government of Jordan’s strict measures in </w:t>
      </w:r>
      <w:r w:rsidR="00044EDA">
        <w:t>controlling the virus</w:t>
      </w:r>
      <w:r>
        <w:t xml:space="preserve">, </w:t>
      </w:r>
      <w:r w:rsidRPr="00C34906">
        <w:t>a lack of trust within the communities and towards the Government</w:t>
      </w:r>
      <w:r>
        <w:t xml:space="preserve"> increased. </w:t>
      </w:r>
      <w:r w:rsidR="00044EDA">
        <w:t>C</w:t>
      </w:r>
      <w:r>
        <w:t>oupled with</w:t>
      </w:r>
      <w:r w:rsidRPr="00C34906">
        <w:t xml:space="preserve"> </w:t>
      </w:r>
      <w:r>
        <w:t xml:space="preserve">emerged </w:t>
      </w:r>
      <w:r w:rsidRPr="00C34906">
        <w:t>socio-economic challenges</w:t>
      </w:r>
      <w:r>
        <w:t xml:space="preserve"> </w:t>
      </w:r>
      <w:r w:rsidRPr="00C34906">
        <w:t>during COVID-19 pandemic</w:t>
      </w:r>
      <w:r w:rsidR="00044EDA">
        <w:t xml:space="preserve">, </w:t>
      </w:r>
      <w:r w:rsidRPr="00C34906">
        <w:t>th</w:t>
      </w:r>
      <w:r>
        <w:t>ese concerns and uncertaint</w:t>
      </w:r>
      <w:r w:rsidR="6F90272E">
        <w:t>ies</w:t>
      </w:r>
      <w:r>
        <w:t xml:space="preserve"> </w:t>
      </w:r>
      <w:r w:rsidRPr="00C34906">
        <w:t>continue to be a crucial threat to the Kingdom</w:t>
      </w:r>
      <w:r>
        <w:t xml:space="preserve"> </w:t>
      </w:r>
      <w:r w:rsidRPr="00C34906">
        <w:t xml:space="preserve">as the vulnerable citizens </w:t>
      </w:r>
      <w:r>
        <w:t xml:space="preserve">are </w:t>
      </w:r>
      <w:r w:rsidRPr="00C34906">
        <w:t xml:space="preserve">more likely to be attracted </w:t>
      </w:r>
      <w:r>
        <w:t xml:space="preserve">and recruited </w:t>
      </w:r>
      <w:r w:rsidRPr="00C34906">
        <w:t>by the radicalized and violent extremists. It is believed that if an at-risk individual’s resilience to violent extremism is increased, he/she will be better equipped to resist the recruitment efforts of violent extremist and radicalized groups.</w:t>
      </w:r>
    </w:p>
    <w:p w14:paraId="09DCB312" w14:textId="77777777" w:rsidR="00044EDA" w:rsidRDefault="00044EDA" w:rsidP="007F52DF"/>
    <w:p w14:paraId="329B0268" w14:textId="7D19653A" w:rsidR="007F52DF" w:rsidRDefault="007F52DF" w:rsidP="007F52DF">
      <w:r w:rsidRPr="00C34906">
        <w:t>In this regard, respond</w:t>
      </w:r>
      <w:r>
        <w:t>ing</w:t>
      </w:r>
      <w:r w:rsidRPr="00C34906">
        <w:t xml:space="preserve"> to people’s immediate needs </w:t>
      </w:r>
      <w:r>
        <w:t xml:space="preserve">is urgently needed so that they will be empowered to </w:t>
      </w:r>
      <w:r w:rsidRPr="00C34906">
        <w:t xml:space="preserve">make choices </w:t>
      </w:r>
      <w:r w:rsidR="0024500E">
        <w:t xml:space="preserve">and decisions </w:t>
      </w:r>
      <w:r w:rsidRPr="00C34906">
        <w:t xml:space="preserve">to address to their rapidly growing </w:t>
      </w:r>
      <w:r>
        <w:t xml:space="preserve">challenges and </w:t>
      </w:r>
      <w:r w:rsidRPr="00C34906">
        <w:t>concerns</w:t>
      </w:r>
      <w:r>
        <w:t xml:space="preserve"> during the COVID-19 crisis</w:t>
      </w:r>
      <w:r w:rsidRPr="00C34906">
        <w:t>.</w:t>
      </w:r>
      <w:r w:rsidR="00044EDA">
        <w:t xml:space="preserve"> Particularly, during COVID-19 crisis, community security and resilience are continued to be questions in many cities and communities in the Kingdom. Thus, UNDP will implement four activities under this Output, with an aim of reducing community risks and marginalization as well as increasing community resilience and social cohesion by promoting people-centered</w:t>
      </w:r>
      <w:r w:rsidR="0024500E">
        <w:t>, inclusive</w:t>
      </w:r>
      <w:r w:rsidR="00044EDA">
        <w:t xml:space="preserve"> and community-oriented initiatives and approaches.</w:t>
      </w:r>
    </w:p>
    <w:p w14:paraId="524D67E4" w14:textId="42FD5816" w:rsidR="0024500E" w:rsidRDefault="0024500E" w:rsidP="007F52DF"/>
    <w:p w14:paraId="0C29263A" w14:textId="5AC9669D" w:rsidR="0024500E" w:rsidRPr="00C34906" w:rsidRDefault="0024500E" w:rsidP="0024500E">
      <w:pPr>
        <w:spacing w:after="0"/>
      </w:pPr>
      <w:r>
        <w:t xml:space="preserve">The outcomes of these activities can also feed into SDG 16, target 16.7 which states the following: </w:t>
      </w:r>
      <w:r w:rsidRPr="00682B77">
        <w:t>Ensure responsive, inclusive, participatory and representative decision-making at all levels</w:t>
      </w:r>
      <w:r>
        <w:t xml:space="preserve">. Output 2 focuses on empowering citizens to make decisions and address their rapidly growing challenges, especially during COVID-19 by creating a vulnerability dashboard, activating the social role of municipalities and establishing community-based initiatives for COVID-19. </w:t>
      </w:r>
    </w:p>
    <w:p w14:paraId="4ED89E1C" w14:textId="77777777" w:rsidR="00A24869" w:rsidRPr="008C036D" w:rsidRDefault="00A24869" w:rsidP="00860725">
      <w:pPr>
        <w:rPr>
          <w:iCs/>
        </w:rPr>
      </w:pPr>
    </w:p>
    <w:p w14:paraId="1614F0FC" w14:textId="77777777" w:rsidR="00860725" w:rsidRPr="008C036D" w:rsidRDefault="00860725" w:rsidP="00860725">
      <w:pPr>
        <w:pBdr>
          <w:top w:val="single" w:sz="4" w:space="1" w:color="auto"/>
          <w:left w:val="single" w:sz="4" w:space="4" w:color="auto"/>
          <w:bottom w:val="single" w:sz="4" w:space="1" w:color="auto"/>
          <w:right w:val="single" w:sz="4" w:space="4" w:color="auto"/>
        </w:pBdr>
        <w:shd w:val="clear" w:color="auto" w:fill="DEEAF6"/>
        <w:rPr>
          <w:b/>
          <w:iCs/>
        </w:rPr>
      </w:pPr>
      <w:r w:rsidRPr="008C036D">
        <w:rPr>
          <w:b/>
          <w:iCs/>
        </w:rPr>
        <w:t xml:space="preserve">Activity 2.1: </w:t>
      </w:r>
      <w:r w:rsidR="008C036D" w:rsidRPr="008C036D">
        <w:rPr>
          <w:b/>
          <w:iCs/>
        </w:rPr>
        <w:t>Establishing a risk dashboard to monitor and analyze early signs of vulnerabilities in the cities/communities through community engagement</w:t>
      </w:r>
      <w:r w:rsidRPr="008C036D">
        <w:rPr>
          <w:b/>
          <w:iCs/>
        </w:rPr>
        <w:t>.</w:t>
      </w:r>
    </w:p>
    <w:bookmarkEnd w:id="1"/>
    <w:p w14:paraId="3C6DACF1" w14:textId="77777777" w:rsidR="00820D5B" w:rsidRPr="004B6BB9" w:rsidRDefault="00820D5B" w:rsidP="00820D5B">
      <w:pPr>
        <w:rPr>
          <w:iCs/>
          <w:highlight w:val="yellow"/>
        </w:rPr>
      </w:pPr>
    </w:p>
    <w:p w14:paraId="341240EF" w14:textId="4ED4FF39" w:rsidR="005046CF" w:rsidRDefault="005046CF" w:rsidP="005046CF">
      <w:pPr>
        <w:rPr>
          <w:bCs/>
          <w:iCs/>
        </w:rPr>
      </w:pPr>
      <w:r>
        <w:t xml:space="preserve">Crises usually do not erupt without any previous signs. They are the result of an enabling environment and the product of several underlying factors. </w:t>
      </w:r>
      <w:r>
        <w:rPr>
          <w:bCs/>
          <w:iCs/>
        </w:rPr>
        <w:t>UNDP Jordan has therefore been p</w:t>
      </w:r>
      <w:r w:rsidRPr="00817A7E">
        <w:rPr>
          <w:bCs/>
          <w:iCs/>
        </w:rPr>
        <w:t>artnering with</w:t>
      </w:r>
      <w:r>
        <w:rPr>
          <w:bCs/>
          <w:iCs/>
        </w:rPr>
        <w:t xml:space="preserve"> the</w:t>
      </w:r>
      <w:r w:rsidRPr="00817A7E">
        <w:rPr>
          <w:bCs/>
          <w:iCs/>
        </w:rPr>
        <w:t xml:space="preserve"> UNDP Crisis Bureau in NY </w:t>
      </w:r>
      <w:r>
        <w:rPr>
          <w:bCs/>
          <w:iCs/>
        </w:rPr>
        <w:t>to develop a</w:t>
      </w:r>
      <w:r w:rsidRPr="00817A7E">
        <w:rPr>
          <w:bCs/>
          <w:iCs/>
        </w:rPr>
        <w:t xml:space="preserve"> Crisis Risk and Early Warning (CREW) system</w:t>
      </w:r>
      <w:r>
        <w:rPr>
          <w:bCs/>
          <w:iCs/>
        </w:rPr>
        <w:t>. W</w:t>
      </w:r>
      <w:r w:rsidRPr="00817A7E">
        <w:rPr>
          <w:bCs/>
          <w:iCs/>
        </w:rPr>
        <w:t xml:space="preserve">ith </w:t>
      </w:r>
      <w:r>
        <w:rPr>
          <w:bCs/>
          <w:iCs/>
        </w:rPr>
        <w:t>the</w:t>
      </w:r>
      <w:r w:rsidRPr="00817A7E">
        <w:rPr>
          <w:bCs/>
          <w:iCs/>
        </w:rPr>
        <w:t xml:space="preserve"> support provided from the JSB2018 and JSB2019 projects</w:t>
      </w:r>
      <w:r>
        <w:rPr>
          <w:bCs/>
          <w:iCs/>
        </w:rPr>
        <w:t>, the CREW provides the opportunity to systematically t</w:t>
      </w:r>
      <w:r>
        <w:t xml:space="preserve">rack and analyze the root causes of crisis over time and use this knowledge as an evidence base, which can support decision-making to improve preparedness, mitigate crisis risks, and take early action. The CREW can also support in </w:t>
      </w:r>
      <w:r>
        <w:rPr>
          <w:bCs/>
          <w:iCs/>
        </w:rPr>
        <w:t xml:space="preserve">incorporating </w:t>
      </w:r>
      <w:r w:rsidRPr="00817A7E">
        <w:rPr>
          <w:bCs/>
          <w:iCs/>
        </w:rPr>
        <w:t xml:space="preserve">risk-informed </w:t>
      </w:r>
      <w:r>
        <w:rPr>
          <w:bCs/>
          <w:iCs/>
        </w:rPr>
        <w:t>analysis and d</w:t>
      </w:r>
      <w:r w:rsidRPr="00817A7E">
        <w:rPr>
          <w:bCs/>
          <w:iCs/>
        </w:rPr>
        <w:t>ecision making</w:t>
      </w:r>
      <w:r>
        <w:rPr>
          <w:bCs/>
          <w:iCs/>
        </w:rPr>
        <w:t xml:space="preserve"> into UNDP’s country programming</w:t>
      </w:r>
      <w:r w:rsidRPr="00817A7E">
        <w:rPr>
          <w:bCs/>
          <w:iCs/>
        </w:rPr>
        <w:t>.</w:t>
      </w:r>
      <w:r>
        <w:rPr>
          <w:bCs/>
          <w:iCs/>
        </w:rPr>
        <w:t xml:space="preserve"> </w:t>
      </w:r>
    </w:p>
    <w:p w14:paraId="3B51DE73" w14:textId="77777777" w:rsidR="005046CF" w:rsidRDefault="005046CF" w:rsidP="005046CF">
      <w:pPr>
        <w:rPr>
          <w:bCs/>
          <w:iCs/>
        </w:rPr>
      </w:pPr>
    </w:p>
    <w:p w14:paraId="028283CC" w14:textId="26CC3CD6" w:rsidR="005046CF" w:rsidRDefault="5713322B" w:rsidP="005046CF">
      <w:r>
        <w:t>UNDP Jordan identified six thematic areas to track and analyze in the Crisis Risk Dashboard and collect data on: 1) Diversity and inclusion; 2) Gover</w:t>
      </w:r>
      <w:r w:rsidR="765C43BF">
        <w:t>nance</w:t>
      </w:r>
      <w:r>
        <w:t xml:space="preserve"> and rule of law; 3) Inequality and </w:t>
      </w:r>
      <w:r>
        <w:lastRenderedPageBreak/>
        <w:t>socio/economic risks; 4) Health</w:t>
      </w:r>
      <w:r w:rsidR="1D5AFE13">
        <w:t xml:space="preserve"> hazards</w:t>
      </w:r>
      <w:r>
        <w:t>; 5) Environment</w:t>
      </w:r>
      <w:r w:rsidR="319DB2BC">
        <w:t>al risks</w:t>
      </w:r>
      <w:r>
        <w:t>; and 6) Connectivity and social infrastructure</w:t>
      </w:r>
      <w:r w:rsidR="00C34CA2">
        <w:t>, which focuses on the digital access to e-government services for instance. There is also an incident tracker which also gives insights and helps monitor possible social tensions</w:t>
      </w:r>
      <w:r>
        <w:t xml:space="preserve">. </w:t>
      </w:r>
    </w:p>
    <w:p w14:paraId="6406E44D" w14:textId="77777777" w:rsidR="005046CF" w:rsidRDefault="005046CF" w:rsidP="005046CF">
      <w:pPr>
        <w:rPr>
          <w:bCs/>
          <w:iCs/>
        </w:rPr>
      </w:pPr>
    </w:p>
    <w:p w14:paraId="2629F94C" w14:textId="6BC9E513" w:rsidR="00E87466" w:rsidRDefault="5713322B" w:rsidP="00E87466">
      <w:r>
        <w:t>All pillars in the Jordan CO will provide inputs on their area of expertise</w:t>
      </w:r>
      <w:r w:rsidR="2A975EAD">
        <w:t>.</w:t>
      </w:r>
      <w:r>
        <w:t xml:space="preserve"> Building upon the lessons learned, UNDP will develop a community-level early warning system to identify and assess the risks and vulnerability of cities/communities through engaging with local communities and CBOs/CSOs. As the access to disaggregated data at the municipal level is limited in Jordan, CBOs/CSOs and community members will play an important role in identifying risks and vulnerabilities that may be unique to each city/community and how crisis like COVID-19 may instantly affect their lives and inter-relations within the communities. </w:t>
      </w:r>
      <w:r w:rsidR="6E41A8E4">
        <w:t xml:space="preserve">Additionally, by focusing on collecting and disaggregating gender-related data under diversity and inclusion, UNDP also </w:t>
      </w:r>
      <w:r w:rsidR="23A43497">
        <w:t>plans to make the dashboard gender responsive</w:t>
      </w:r>
      <w:r w:rsidR="6E41A8E4">
        <w:t xml:space="preserve"> to address and analyse root causes of crisis over time.</w:t>
      </w:r>
    </w:p>
    <w:p w14:paraId="556D77C9" w14:textId="77777777" w:rsidR="005046CF" w:rsidRDefault="005046CF" w:rsidP="005046CF">
      <w:pPr>
        <w:rPr>
          <w:bCs/>
          <w:iCs/>
        </w:rPr>
      </w:pPr>
    </w:p>
    <w:p w14:paraId="63994278" w14:textId="6BC1DEC2" w:rsidR="005046CF" w:rsidRDefault="5713322B" w:rsidP="005046CF">
      <w:r>
        <w:t xml:space="preserve">Through the development of the online </w:t>
      </w:r>
      <w:r w:rsidR="557B4803">
        <w:t>da</w:t>
      </w:r>
      <w:r>
        <w:t xml:space="preserve">shboard, UNDP hopes to improve the system and expand its community-level data. By regularly monitoring the identified risks and signs of vulnerabilities, the system envisages to see if a sign of uncertainty in their communities increases. In order to establish this system as a pilot study, UNDP will first conduct a mapping analysis to understand what kind of risks/vulnerabilities should be prioritized through a participatory approach with CBOs/CSOs, and which city/community has higher risks/vulnerabilities. Also, as an offline function, UNDP will work closely with CBOs/CSOs so that the early signs of risks and vulnerabilities alerted online will be validated offline at community level, when needed. UNDP Jordan will provide training sessions in order to build their capacities to regularly monitor the emerging risks and vulnerabilities of each community. Through this exercise, community-specific human insecurities, particularly types of economic and community insecurities, will be identified and addressed. </w:t>
      </w:r>
    </w:p>
    <w:p w14:paraId="3C6340F3" w14:textId="77777777" w:rsidR="005046CF" w:rsidRPr="00E26E60" w:rsidRDefault="005046CF" w:rsidP="00820D5B">
      <w:pPr>
        <w:ind w:left="-90"/>
        <w:rPr>
          <w:b/>
          <w:bCs/>
          <w:iCs/>
        </w:rPr>
      </w:pPr>
    </w:p>
    <w:p w14:paraId="392D830A" w14:textId="77777777" w:rsidR="00820D5B" w:rsidRPr="00820D5B" w:rsidRDefault="00820D5B" w:rsidP="00820D5B">
      <w:pPr>
        <w:pBdr>
          <w:top w:val="single" w:sz="4" w:space="1" w:color="auto"/>
          <w:left w:val="single" w:sz="4" w:space="4" w:color="auto"/>
          <w:bottom w:val="single" w:sz="4" w:space="1" w:color="auto"/>
          <w:right w:val="single" w:sz="4" w:space="4" w:color="auto"/>
        </w:pBdr>
        <w:shd w:val="clear" w:color="auto" w:fill="DEEAF6"/>
        <w:rPr>
          <w:b/>
          <w:iCs/>
        </w:rPr>
      </w:pPr>
      <w:r w:rsidRPr="00E26E60">
        <w:rPr>
          <w:b/>
          <w:iCs/>
        </w:rPr>
        <w:t xml:space="preserve">Activity 2.2: </w:t>
      </w:r>
      <w:r w:rsidR="00E26E60" w:rsidRPr="00E26E60">
        <w:rPr>
          <w:b/>
          <w:iCs/>
        </w:rPr>
        <w:t>Activating the social role of municipalities through developing resilience and crisis readiness mechanisms for community participation.</w:t>
      </w:r>
    </w:p>
    <w:p w14:paraId="2208EDED" w14:textId="77777777" w:rsidR="00820D5B" w:rsidRPr="00820D5B" w:rsidRDefault="00820D5B" w:rsidP="00820D5B">
      <w:pPr>
        <w:ind w:left="-90"/>
        <w:rPr>
          <w:b/>
          <w:iCs/>
        </w:rPr>
      </w:pPr>
    </w:p>
    <w:p w14:paraId="4B9C6807" w14:textId="77777777" w:rsidR="00AB7CE6" w:rsidRPr="00F836CF" w:rsidRDefault="00AB7CE6" w:rsidP="00AB7CE6">
      <w:pPr>
        <w:rPr>
          <w:bCs/>
          <w:iCs/>
        </w:rPr>
      </w:pPr>
      <w:bookmarkStart w:id="2" w:name="_Hlk29389415"/>
      <w:r w:rsidRPr="00F836CF">
        <w:rPr>
          <w:bCs/>
          <w:iCs/>
        </w:rPr>
        <w:t xml:space="preserve">The National Action Plan (NAP) on PVE stresses the importance of whole of society approach and emphasizes the key role that communities and local governments can play. UNDP Jordan continues to support the implementation of the NAP activities by collaborating with municipal governments, specifically the ones with communities at-risk, and will develop a mechanism to enhance community participation and engagement. Through this mechanism, UNDP hopes that a sense of belonging of young men and women in these municipalities/communities will be further enhanced. Thus, communities will become more resilient not only to violent extremist and radicalization but also to crisis and disaster such as COVID-19 and flash flooding. Also, it is believed that this will further enhance the Kingdom’s decentralization efforts by increasing municipal governments’ representation. </w:t>
      </w:r>
    </w:p>
    <w:p w14:paraId="4A4FA098" w14:textId="77777777" w:rsidR="00AB7CE6" w:rsidRPr="00B81E18" w:rsidRDefault="00AB7CE6" w:rsidP="00AB7CE6">
      <w:pPr>
        <w:rPr>
          <w:bCs/>
          <w:iCs/>
        </w:rPr>
      </w:pPr>
    </w:p>
    <w:p w14:paraId="6BD0CF11" w14:textId="58D356F6" w:rsidR="00AB7CE6" w:rsidRPr="00B81E18" w:rsidRDefault="59C04D5A" w:rsidP="00AB7CE6">
      <w:pPr>
        <w:rPr>
          <w:rFonts w:cs="Calibri"/>
          <w:color w:val="000000"/>
        </w:rPr>
      </w:pPr>
      <w:r w:rsidRPr="00B81E18">
        <w:rPr>
          <w:rFonts w:cs="Calibri"/>
          <w:color w:val="000000"/>
        </w:rPr>
        <w:t xml:space="preserve">In order to reduce the spread of misinformation, address the </w:t>
      </w:r>
      <w:r w:rsidRPr="00B81E18">
        <w:rPr>
          <w:rFonts w:cs="Calibri"/>
        </w:rPr>
        <w:t>lack of social connectivity</w:t>
      </w:r>
      <w:r w:rsidRPr="7DF5A6EA">
        <w:rPr>
          <w:rFonts w:cs="Calibri"/>
          <w:i/>
          <w:iCs/>
        </w:rPr>
        <w:t xml:space="preserve"> </w:t>
      </w:r>
      <w:r w:rsidRPr="00B81E18">
        <w:rPr>
          <w:rFonts w:cs="Calibri"/>
          <w:color w:val="000000"/>
        </w:rPr>
        <w:t>during the COVID-19 crisis and create participatory response strategies that enhance recovery and mitigation at the local level, UNDP has started the establishment of Municipal Community Network Platforms. The platforms will have a specific section for vulnerable groups including women, youth, elderly and economically challenged.</w:t>
      </w:r>
      <w:r w:rsidRPr="00B81E18">
        <w:rPr>
          <w:rFonts w:ascii="Times New Roman" w:hAnsi="Times New Roman"/>
          <w:color w:val="000000"/>
        </w:rPr>
        <w:t xml:space="preserve"> </w:t>
      </w:r>
      <w:r w:rsidRPr="00B81E18">
        <w:rPr>
          <w:rFonts w:cs="Calibri"/>
          <w:color w:val="000000"/>
        </w:rPr>
        <w:t xml:space="preserve">The aim of these digital Community Network platforms is to </w:t>
      </w:r>
      <w:r w:rsidR="001722E7">
        <w:rPr>
          <w:rFonts w:cs="Calibri"/>
          <w:color w:val="000000"/>
        </w:rPr>
        <w:t xml:space="preserve">build resilience and </w:t>
      </w:r>
      <w:r w:rsidRPr="00B81E18">
        <w:rPr>
          <w:rFonts w:cs="Calibri"/>
          <w:color w:val="000000"/>
        </w:rPr>
        <w:t>strengthen the social contract by improving the relationship between the state</w:t>
      </w:r>
      <w:r w:rsidR="001722E7">
        <w:rPr>
          <w:rFonts w:cs="Calibri"/>
          <w:color w:val="000000"/>
        </w:rPr>
        <w:t>, local governments,</w:t>
      </w:r>
      <w:r w:rsidRPr="00B81E18">
        <w:rPr>
          <w:rFonts w:cs="Calibri"/>
          <w:color w:val="000000"/>
        </w:rPr>
        <w:t xml:space="preserve"> citizens,</w:t>
      </w:r>
      <w:r w:rsidR="001722E7">
        <w:rPr>
          <w:rFonts w:cs="Calibri"/>
          <w:color w:val="000000"/>
        </w:rPr>
        <w:t xml:space="preserve"> and residents.</w:t>
      </w:r>
      <w:r w:rsidRPr="00B81E18">
        <w:rPr>
          <w:rFonts w:cs="Calibri"/>
          <w:color w:val="000000"/>
        </w:rPr>
        <w:t xml:space="preserve"> </w:t>
      </w:r>
      <w:r w:rsidR="001722E7">
        <w:rPr>
          <w:rFonts w:cs="Calibri"/>
          <w:color w:val="000000"/>
        </w:rPr>
        <w:t xml:space="preserve">UNDP already targeted two communities, thus, UNDP hopes to increase the number of community platforms to 10. </w:t>
      </w:r>
      <w:r w:rsidRPr="00B81E18">
        <w:rPr>
          <w:rFonts w:cs="Calibri"/>
          <w:color w:val="000000"/>
        </w:rPr>
        <w:t>The platforms will be owned by municipal authorities and will facilitate on-going digital dialogue, building on physical community dialogue processes that can help in preventing violent extremism.</w:t>
      </w:r>
    </w:p>
    <w:p w14:paraId="36CEEAF9" w14:textId="24C4408F" w:rsidR="00820D5B" w:rsidRPr="00820D5B" w:rsidRDefault="00AB7CE6" w:rsidP="00B81E18">
      <w:pPr>
        <w:rPr>
          <w:iCs/>
        </w:rPr>
      </w:pPr>
      <w:r w:rsidRPr="00AB7CE6">
        <w:rPr>
          <w:rFonts w:cs="Calibri"/>
          <w:color w:val="000000"/>
          <w:highlight w:val="yellow"/>
        </w:rPr>
        <w:t xml:space="preserve"> </w:t>
      </w:r>
      <w:bookmarkEnd w:id="2"/>
    </w:p>
    <w:p w14:paraId="3B19239B" w14:textId="77777777" w:rsidR="00820D5B" w:rsidRPr="009A23C6" w:rsidRDefault="77337302" w:rsidP="008E2158">
      <w:pPr>
        <w:pBdr>
          <w:top w:val="single" w:sz="4" w:space="1" w:color="auto"/>
          <w:left w:val="single" w:sz="4" w:space="4" w:color="auto"/>
          <w:bottom w:val="single" w:sz="4" w:space="1" w:color="auto"/>
          <w:right w:val="single" w:sz="4" w:space="4" w:color="auto"/>
        </w:pBdr>
        <w:shd w:val="clear" w:color="auto" w:fill="DEEAF6" w:themeFill="accent5" w:themeFillTint="33"/>
        <w:rPr>
          <w:b/>
          <w:bCs/>
        </w:rPr>
      </w:pPr>
      <w:r w:rsidRPr="7DF5A6EA">
        <w:rPr>
          <w:b/>
          <w:bCs/>
        </w:rPr>
        <w:t xml:space="preserve">Activity 2.3: </w:t>
      </w:r>
      <w:r w:rsidR="5B580DC9" w:rsidRPr="7DF5A6EA">
        <w:rPr>
          <w:b/>
          <w:bCs/>
        </w:rPr>
        <w:t>Establishing COVID-19 community-based initiative repository that enhances recovery and mitigation at the local level.</w:t>
      </w:r>
    </w:p>
    <w:p w14:paraId="4E77C048" w14:textId="77777777" w:rsidR="00820D5B" w:rsidRPr="004B6BB9" w:rsidRDefault="00820D5B" w:rsidP="00820D5B">
      <w:pPr>
        <w:ind w:left="-90"/>
        <w:rPr>
          <w:iCs/>
          <w:highlight w:val="yellow"/>
        </w:rPr>
      </w:pPr>
    </w:p>
    <w:p w14:paraId="4727D193" w14:textId="26AB9AC0" w:rsidR="00C34CA2" w:rsidRDefault="00432FA2" w:rsidP="000A0A4E">
      <w:pPr>
        <w:rPr>
          <w:bCs/>
          <w:iCs/>
        </w:rPr>
      </w:pPr>
      <w:r>
        <w:rPr>
          <w:bCs/>
          <w:iCs/>
        </w:rPr>
        <w:lastRenderedPageBreak/>
        <w:t xml:space="preserve">As part of COVID-19 recovery mechanism, UNDP, in close collaboration with municipal governments and local communities, will establish a community initiative repository that enhances recovery and mitigation from crisis and disaster. </w:t>
      </w:r>
      <w:r w:rsidR="00C34CA2">
        <w:rPr>
          <w:bCs/>
          <w:iCs/>
        </w:rPr>
        <w:t xml:space="preserve">This will build on the efforts of the Rapid Response Facility </w:t>
      </w:r>
      <w:r w:rsidR="00126D40">
        <w:rPr>
          <w:bCs/>
          <w:iCs/>
        </w:rPr>
        <w:t>(RRF) p</w:t>
      </w:r>
      <w:r w:rsidR="00C34CA2">
        <w:rPr>
          <w:bCs/>
          <w:iCs/>
        </w:rPr>
        <w:t>roject</w:t>
      </w:r>
      <w:r w:rsidR="00126D40">
        <w:rPr>
          <w:bCs/>
          <w:iCs/>
        </w:rPr>
        <w:t>. I</w:t>
      </w:r>
      <w:r w:rsidR="00C34CA2">
        <w:rPr>
          <w:bCs/>
          <w:iCs/>
        </w:rPr>
        <w:t>n the first and second wave of the COVID-19 crisis</w:t>
      </w:r>
      <w:r w:rsidR="00126D40">
        <w:rPr>
          <w:bCs/>
          <w:iCs/>
        </w:rPr>
        <w:t>, RRF project</w:t>
      </w:r>
      <w:r w:rsidR="00C34CA2">
        <w:rPr>
          <w:bCs/>
          <w:iCs/>
        </w:rPr>
        <w:t xml:space="preserve"> played a </w:t>
      </w:r>
      <w:r w:rsidR="00126D40">
        <w:rPr>
          <w:bCs/>
          <w:iCs/>
        </w:rPr>
        <w:t>key</w:t>
      </w:r>
      <w:r w:rsidR="00C34CA2">
        <w:rPr>
          <w:bCs/>
          <w:iCs/>
        </w:rPr>
        <w:t xml:space="preserve"> role in supporting the government’s critical </w:t>
      </w:r>
      <w:r w:rsidR="00126D40">
        <w:rPr>
          <w:bCs/>
          <w:iCs/>
        </w:rPr>
        <w:t>b</w:t>
      </w:r>
      <w:r w:rsidR="00C34CA2">
        <w:rPr>
          <w:bCs/>
          <w:iCs/>
        </w:rPr>
        <w:t>usiness continuity of core functions and services including the development of municipal contingency plans and addressing lack of social dysconnectivity of those marginalized communities including refugees and migrants.</w:t>
      </w:r>
    </w:p>
    <w:p w14:paraId="14B521D7" w14:textId="77777777" w:rsidR="00C34CA2" w:rsidRDefault="00C34CA2" w:rsidP="000A0A4E">
      <w:pPr>
        <w:rPr>
          <w:bCs/>
          <w:iCs/>
        </w:rPr>
      </w:pPr>
    </w:p>
    <w:p w14:paraId="77B7C10B" w14:textId="1CDD20FB" w:rsidR="00DA45A6" w:rsidRDefault="00432FA2" w:rsidP="000A0A4E">
      <w:pPr>
        <w:rPr>
          <w:bCs/>
          <w:iCs/>
        </w:rPr>
      </w:pPr>
      <w:r>
        <w:rPr>
          <w:bCs/>
          <w:iCs/>
        </w:rPr>
        <w:t xml:space="preserve">UNDP will identify a handful of communities that were impacted the most by the COVID-19 pandemic and its containment measures. Then, UNDP will collect a list of community initiatives or social capital that organically emerged physically or virtually during and after the lockdown, particularly the ones can potentially improve their community and economic insecurities. </w:t>
      </w:r>
      <w:r w:rsidR="00DA45A6">
        <w:rPr>
          <w:bCs/>
          <w:iCs/>
        </w:rPr>
        <w:t>UNDP will develop a community initiative repository, which would allow to establish a channel of information between communities and local and national governments, UNDP envisages that this channel will help the government’s policy making and accelerate participatory and data informed planning.  With this in mind, UNDP will prioritize to select initiatives to be stored in the repository, which can be scaled up in different communities.</w:t>
      </w:r>
    </w:p>
    <w:p w14:paraId="40BD90A8" w14:textId="60476B39" w:rsidR="00DA45A6" w:rsidRDefault="00DA45A6" w:rsidP="000A0A4E">
      <w:pPr>
        <w:rPr>
          <w:bCs/>
          <w:iCs/>
        </w:rPr>
      </w:pPr>
    </w:p>
    <w:p w14:paraId="4832881D" w14:textId="6C0B5FB4" w:rsidR="00DA45A6" w:rsidRDefault="00DA45A6" w:rsidP="00DA45A6">
      <w:pPr>
        <w:rPr>
          <w:bCs/>
          <w:iCs/>
        </w:rPr>
      </w:pPr>
      <w:r>
        <w:rPr>
          <w:bCs/>
          <w:iCs/>
        </w:rPr>
        <w:t xml:space="preserve">In parallel, </w:t>
      </w:r>
      <w:r w:rsidR="008B572A">
        <w:rPr>
          <w:bCs/>
          <w:iCs/>
        </w:rPr>
        <w:t>while</w:t>
      </w:r>
      <w:r>
        <w:rPr>
          <w:bCs/>
          <w:iCs/>
        </w:rPr>
        <w:t xml:space="preserve"> collecting best practices and lessons learned, as well as analyzing data and outcomes, UNDP will start the next cycle of the implementation of scalable initiatives by designing and deploying pilot initiatives. By doing so, more individuals in vulnerable communities will be reached out, eventually contributes to building back better their communities and livelihoods.</w:t>
      </w:r>
    </w:p>
    <w:p w14:paraId="2EE9536F" w14:textId="77777777" w:rsidR="00DA45A6" w:rsidRDefault="00DA45A6" w:rsidP="000A0A4E">
      <w:pPr>
        <w:rPr>
          <w:bCs/>
          <w:iCs/>
        </w:rPr>
      </w:pPr>
    </w:p>
    <w:p w14:paraId="36F40BD6" w14:textId="2A5EB43A" w:rsidR="000A0A4E" w:rsidRDefault="38BF4615" w:rsidP="008B572A">
      <w:r>
        <w:t>UNDP will identify 150 vulnerable community members to participate in the design and implementation of community responsive socio-economic initiatives, with an aim of enhancing their communities and local neighborhoods</w:t>
      </w:r>
      <w:r w:rsidR="1D743981">
        <w:t>.</w:t>
      </w:r>
      <w:r>
        <w:t xml:space="preserve"> Beneficiaries will be selected based on criteria that prioritises most vulnerable individuals and communities that were impacted the most by the COVID-19 and its containment measures. The details of the selection criteria can be found in </w:t>
      </w:r>
      <w:r w:rsidR="008E2158" w:rsidRPr="008E2158">
        <w:rPr>
          <w:i/>
          <w:iCs/>
        </w:rPr>
        <w:t>Section</w:t>
      </w:r>
      <w:r w:rsidR="008E2158">
        <w:t xml:space="preserve"> </w:t>
      </w:r>
      <w:r w:rsidRPr="008E2158">
        <w:rPr>
          <w:i/>
          <w:iCs/>
        </w:rPr>
        <w:t>X. Vulnerable Selection Criteria</w:t>
      </w:r>
      <w:r>
        <w:t>. Beneficiaries participating in community initiatives will receive incentives and vocational training to support improvement in their living conditions. Preferably, in</w:t>
      </w:r>
      <w:r w:rsidR="67C9F924">
        <w:t xml:space="preserve">itiatives </w:t>
      </w:r>
      <w:r>
        <w:t>will be</w:t>
      </w:r>
      <w:r w:rsidR="67C9F924">
        <w:t xml:space="preserve"> </w:t>
      </w:r>
      <w:r w:rsidR="28948621">
        <w:t xml:space="preserve">area-based and </w:t>
      </w:r>
      <w:r w:rsidR="67C9F924">
        <w:t xml:space="preserve">are meant </w:t>
      </w:r>
      <w:r w:rsidR="28948621">
        <w:t>to improve urban and community spaces and/or their neighborhoods (i.e. beautifying public parks</w:t>
      </w:r>
      <w:r w:rsidR="1B2072CE">
        <w:t xml:space="preserve">, rehabilitating </w:t>
      </w:r>
      <w:r w:rsidR="28948621">
        <w:t xml:space="preserve">existing buildings </w:t>
      </w:r>
      <w:r w:rsidR="1B2072CE">
        <w:t>to be transformed into public spaces</w:t>
      </w:r>
      <w:r w:rsidR="00066F14">
        <w:t>, local markets, health centers or school</w:t>
      </w:r>
      <w:r w:rsidR="1B2072CE">
        <w:t>)</w:t>
      </w:r>
      <w:r w:rsidR="28948621">
        <w:t>.</w:t>
      </w:r>
      <w:r>
        <w:t xml:space="preserve"> However, initiatives can also target sectors/businesses that have been most impacted by COVID-19 in order to reduce negative coping mechanisms and eliminate conditions that are conducive to radicalization. In parallel to Activity 1.3, initiatives with strong focus on enhancing innovation and addressing digital literacy will be also prioritized.</w:t>
      </w:r>
    </w:p>
    <w:p w14:paraId="46A6C518" w14:textId="06E3FDA4" w:rsidR="000A0A4E" w:rsidRDefault="000A0A4E" w:rsidP="000A0A4E">
      <w:pPr>
        <w:rPr>
          <w:bCs/>
          <w:iCs/>
        </w:rPr>
      </w:pPr>
    </w:p>
    <w:p w14:paraId="4F5275F1" w14:textId="57244F5B" w:rsidR="00432FA2" w:rsidRDefault="007E0C85" w:rsidP="008B572A">
      <w:pPr>
        <w:rPr>
          <w:bCs/>
          <w:iCs/>
        </w:rPr>
      </w:pPr>
      <w:r>
        <w:rPr>
          <w:bCs/>
          <w:iCs/>
        </w:rPr>
        <w:t>Building upon the successful examples of the development and implementation of area-based community interventions through Heart of Amman programme (supported by JSB2018 and JSB2019 projects), t</w:t>
      </w:r>
      <w:r w:rsidR="00432FA2">
        <w:rPr>
          <w:bCs/>
          <w:iCs/>
        </w:rPr>
        <w:t xml:space="preserve">he activity </w:t>
      </w:r>
      <w:r>
        <w:rPr>
          <w:bCs/>
          <w:iCs/>
        </w:rPr>
        <w:t xml:space="preserve">will be conducted by partnering with relevant government offices, including Greater Amman Municipality (GAM). The activity </w:t>
      </w:r>
      <w:r w:rsidR="00432FA2">
        <w:rPr>
          <w:bCs/>
          <w:iCs/>
        </w:rPr>
        <w:t xml:space="preserve">will leverage on and enhance </w:t>
      </w:r>
      <w:r w:rsidR="00BE6FF2">
        <w:rPr>
          <w:bCs/>
          <w:iCs/>
        </w:rPr>
        <w:t xml:space="preserve">capacity at </w:t>
      </w:r>
      <w:r w:rsidR="00432FA2">
        <w:rPr>
          <w:bCs/>
          <w:iCs/>
        </w:rPr>
        <w:t>GAM and M</w:t>
      </w:r>
      <w:r w:rsidR="00BE6FF2">
        <w:rPr>
          <w:bCs/>
          <w:iCs/>
        </w:rPr>
        <w:t xml:space="preserve">inistry of </w:t>
      </w:r>
      <w:r w:rsidR="00432FA2">
        <w:rPr>
          <w:bCs/>
          <w:iCs/>
        </w:rPr>
        <w:t>L</w:t>
      </w:r>
      <w:r w:rsidR="00BE6FF2">
        <w:rPr>
          <w:bCs/>
          <w:iCs/>
        </w:rPr>
        <w:t xml:space="preserve">ocal </w:t>
      </w:r>
      <w:r w:rsidR="00432FA2">
        <w:rPr>
          <w:bCs/>
          <w:iCs/>
        </w:rPr>
        <w:t>A</w:t>
      </w:r>
      <w:r w:rsidR="00BE6FF2">
        <w:rPr>
          <w:bCs/>
          <w:iCs/>
        </w:rPr>
        <w:t>dministration (MoLA)</w:t>
      </w:r>
      <w:r w:rsidR="00432FA2">
        <w:rPr>
          <w:bCs/>
          <w:iCs/>
        </w:rPr>
        <w:t xml:space="preserve"> to plan and manage community-based initiatives and build a repository of COVID-19 crises responses. Interventions will also support GAM to establish partnerships with other smaller surrounding municipalities in partnership with M</w:t>
      </w:r>
      <w:r w:rsidR="00BE6FF2">
        <w:rPr>
          <w:bCs/>
          <w:iCs/>
        </w:rPr>
        <w:t>o</w:t>
      </w:r>
      <w:r w:rsidR="00432FA2">
        <w:rPr>
          <w:bCs/>
          <w:iCs/>
        </w:rPr>
        <w:t xml:space="preserve">LA to strengthen emergency response, public health readiness and </w:t>
      </w:r>
      <w:r w:rsidR="00432FA2">
        <w:rPr>
          <w:rFonts w:cs="Arial"/>
          <w:bCs/>
          <w:iCs/>
        </w:rPr>
        <w:t>planning</w:t>
      </w:r>
      <w:r w:rsidR="00432FA2">
        <w:rPr>
          <w:bCs/>
          <w:iCs/>
        </w:rPr>
        <w:t xml:space="preserve"> through community and neighborhood led initiatives for pandemic containment, behavioral change advocacy, post COVID-19 socio-economic recovery</w:t>
      </w:r>
      <w:r w:rsidR="00BE6FF2">
        <w:rPr>
          <w:bCs/>
          <w:iCs/>
        </w:rPr>
        <w:t xml:space="preserve">. It will also </w:t>
      </w:r>
      <w:r w:rsidR="00432FA2">
        <w:rPr>
          <w:bCs/>
          <w:iCs/>
        </w:rPr>
        <w:t>enhance the universal access to basic public health services and measures.</w:t>
      </w:r>
    </w:p>
    <w:p w14:paraId="29837638" w14:textId="77777777" w:rsidR="00820D5B" w:rsidRDefault="00820D5B" w:rsidP="00432FA2">
      <w:pPr>
        <w:rPr>
          <w:b/>
          <w:iCs/>
        </w:rPr>
      </w:pPr>
    </w:p>
    <w:p w14:paraId="335B09C0" w14:textId="5395C697" w:rsidR="00820D5B" w:rsidRPr="009A23C6" w:rsidRDefault="00820D5B" w:rsidP="00D872D1">
      <w:pPr>
        <w:pBdr>
          <w:top w:val="single" w:sz="4" w:space="1" w:color="auto"/>
          <w:left w:val="single" w:sz="4" w:space="4" w:color="auto"/>
          <w:bottom w:val="single" w:sz="4" w:space="1" w:color="auto"/>
          <w:right w:val="single" w:sz="4" w:space="4" w:color="auto"/>
        </w:pBdr>
        <w:shd w:val="clear" w:color="auto" w:fill="DEEAF6"/>
        <w:rPr>
          <w:b/>
          <w:iCs/>
        </w:rPr>
      </w:pPr>
      <w:r w:rsidRPr="009A23C6">
        <w:rPr>
          <w:b/>
          <w:iCs/>
        </w:rPr>
        <w:t xml:space="preserve">Activity 2.4: </w:t>
      </w:r>
      <w:bookmarkStart w:id="3" w:name="_Hlk29764267"/>
      <w:r w:rsidR="009A23C6" w:rsidRPr="009A23C6">
        <w:rPr>
          <w:b/>
          <w:iCs/>
        </w:rPr>
        <w:t xml:space="preserve">Strengthening the role of local </w:t>
      </w:r>
      <w:r w:rsidR="000F3889">
        <w:rPr>
          <w:b/>
          <w:iCs/>
        </w:rPr>
        <w:t xml:space="preserve">peace and </w:t>
      </w:r>
      <w:r w:rsidR="009A23C6" w:rsidRPr="009A23C6">
        <w:rPr>
          <w:b/>
          <w:iCs/>
        </w:rPr>
        <w:t>security council to lead a conflict resolution mechanism to further build trust among the communities and between communities and law enforcement</w:t>
      </w:r>
      <w:r w:rsidRPr="009A23C6">
        <w:rPr>
          <w:b/>
          <w:iCs/>
        </w:rPr>
        <w:t>.</w:t>
      </w:r>
      <w:bookmarkEnd w:id="3"/>
      <w:r w:rsidRPr="009A23C6">
        <w:rPr>
          <w:b/>
          <w:iCs/>
        </w:rPr>
        <w:t xml:space="preserve"> </w:t>
      </w:r>
    </w:p>
    <w:p w14:paraId="4691E88F" w14:textId="77777777" w:rsidR="00820D5B" w:rsidRPr="004B6BB9" w:rsidRDefault="00820D5B" w:rsidP="00820D5B">
      <w:pPr>
        <w:ind w:left="-90"/>
        <w:rPr>
          <w:iCs/>
          <w:highlight w:val="yellow"/>
        </w:rPr>
      </w:pPr>
    </w:p>
    <w:p w14:paraId="66939FAC" w14:textId="77777777" w:rsidR="00432FA2" w:rsidRPr="00BE6FF2" w:rsidRDefault="0026344A" w:rsidP="0026344A">
      <w:pPr>
        <w:rPr>
          <w:bCs/>
          <w:iCs/>
        </w:rPr>
      </w:pPr>
      <w:r w:rsidRPr="00BE6FF2">
        <w:rPr>
          <w:bCs/>
          <w:iCs/>
        </w:rPr>
        <w:t xml:space="preserve">This activity builds on the support to the development of the Community Policing model and its roll out in Jordan (conducted under JSB2019 project) and aims at developing a conflict resolution mechanism at community level by activating Local Peace and Security Councils (LPSCs) and </w:t>
      </w:r>
      <w:r w:rsidRPr="00BE6FF2">
        <w:rPr>
          <w:bCs/>
          <w:iCs/>
        </w:rPr>
        <w:lastRenderedPageBreak/>
        <w:t>bridging the gap between law enforcement and local communities. In Jordan, local security councils comprised of community stakeholders representing community policing under Public Security Directorate (PSD), local governments, civil society, and other relevant organizations and individuals, and serve to discuss and mitigate the local community security issues and concerns. It is understood that “tribe” and “</w:t>
      </w:r>
      <w:r w:rsidR="00432FA2" w:rsidRPr="00BE6FF2">
        <w:rPr>
          <w:bCs/>
          <w:iCs/>
        </w:rPr>
        <w:t>t</w:t>
      </w:r>
      <w:r w:rsidRPr="00BE6FF2">
        <w:rPr>
          <w:bCs/>
          <w:iCs/>
        </w:rPr>
        <w:t>ribal rules, norms and traditions” play a significant role in Jordanian communities in addition to Sharia’h (Islamic) court and State Court. In some Arab countries and particularly in rural communities, community members prefer to resolve matters locally because some of them would like to handle matters in their own manner to match with their values.</w:t>
      </w:r>
    </w:p>
    <w:p w14:paraId="48616EA3" w14:textId="77777777" w:rsidR="00432FA2" w:rsidRPr="00BE6FF2" w:rsidRDefault="00432FA2" w:rsidP="0026344A">
      <w:pPr>
        <w:rPr>
          <w:bCs/>
          <w:iCs/>
        </w:rPr>
      </w:pPr>
    </w:p>
    <w:p w14:paraId="5CDE454B" w14:textId="77777777" w:rsidR="0026344A" w:rsidRDefault="0026344A" w:rsidP="0026344A">
      <w:pPr>
        <w:rPr>
          <w:bCs/>
          <w:iCs/>
        </w:rPr>
      </w:pPr>
      <w:r w:rsidRPr="00BE6FF2">
        <w:rPr>
          <w:bCs/>
          <w:iCs/>
        </w:rPr>
        <w:t>Also, they see the importance of asking some community members whom they are familiar with and trust to handle these matters. In this regard, UNDP, in partnership with PSD and community leaders will suggest an update the LPSC guidelines to ensure vulnerable community members, such as youth and women, are represented in LPSCs so that their views will be counted. Such inclusion may imply a revision on the role and responsibilities of LPSC. By collaborating with LPSCs, UNDP hopes to develop a conflict resolution mechanism that is community-owned and community-engaged, while linking law enforcement officials and local government institutions. By having community policing officers in the mechanism, the communities with LPSCs will be able to monitor negative phenomena in the local communities and find necessary solutions in a fair and peaceful manner. Thus, UNDP will then hold a series of raising awareness sessions in the target communities so that the roles of L</w:t>
      </w:r>
      <w:r w:rsidR="00432FA2" w:rsidRPr="00BE6FF2">
        <w:rPr>
          <w:bCs/>
          <w:iCs/>
        </w:rPr>
        <w:t>P</w:t>
      </w:r>
      <w:r w:rsidRPr="00BE6FF2">
        <w:rPr>
          <w:bCs/>
          <w:iCs/>
        </w:rPr>
        <w:t>SCs and community policing will be recognized and acknowledged, and L</w:t>
      </w:r>
      <w:r w:rsidR="00432FA2" w:rsidRPr="00BE6FF2">
        <w:rPr>
          <w:bCs/>
          <w:iCs/>
        </w:rPr>
        <w:t>P</w:t>
      </w:r>
      <w:r w:rsidRPr="00BE6FF2">
        <w:rPr>
          <w:bCs/>
          <w:iCs/>
        </w:rPr>
        <w:t>SC members will be further connected to the community members, particularly to women and youth members. This exercise will shed lights on challenges and problems communities have and help them identify the ways to resolve the issues by their own hands. Further, due to the ongoing COVID-19 crisis, community members face the fear of COVID-19 infection within a community, therefore, inter-community relations may be strained due to the COVID-19 pandemic and thus compromise the unity among the different communities. In this regard, UNDP envisages that empowered LPSCs will also promote awareness of safety and security of the community, with focus on COVID-19, and eventually help them re-build a trust within the communities.</w:t>
      </w:r>
    </w:p>
    <w:p w14:paraId="56154588" w14:textId="77777777" w:rsidR="00041871" w:rsidRDefault="00041871" w:rsidP="008C1450">
      <w:pPr>
        <w:rPr>
          <w:bCs/>
          <w:iCs/>
        </w:rPr>
      </w:pPr>
    </w:p>
    <w:p w14:paraId="091952D8" w14:textId="77777777" w:rsidR="008D78A0" w:rsidRPr="004B7097" w:rsidRDefault="008D78A0" w:rsidP="008C1450">
      <w:pPr>
        <w:spacing w:after="0"/>
        <w:rPr>
          <w:b/>
          <w:i/>
        </w:rPr>
      </w:pPr>
      <w:r w:rsidRPr="004B7097">
        <w:rPr>
          <w:b/>
          <w:i/>
        </w:rPr>
        <w:t>Resources Required to Achieve the Expected Results</w:t>
      </w:r>
    </w:p>
    <w:p w14:paraId="2B8BD32E" w14:textId="77777777" w:rsidR="005A2498" w:rsidRPr="004B7097" w:rsidRDefault="005A2498" w:rsidP="00BA29E4">
      <w:pPr>
        <w:rPr>
          <w:i/>
        </w:rPr>
      </w:pPr>
    </w:p>
    <w:p w14:paraId="2E3153B8" w14:textId="77777777" w:rsidR="005A2498" w:rsidRPr="005A2498" w:rsidRDefault="005A2498" w:rsidP="00BA29E4">
      <w:pPr>
        <w:rPr>
          <w:iCs/>
        </w:rPr>
      </w:pPr>
      <w:r w:rsidRPr="004B7097">
        <w:rPr>
          <w:iCs/>
        </w:rPr>
        <w:t xml:space="preserve">The project will leverage both existing staffing and resources at UNDP Jordan Country Office, supported by global </w:t>
      </w:r>
      <w:r w:rsidR="00545C08" w:rsidRPr="004B7097">
        <w:rPr>
          <w:iCs/>
        </w:rPr>
        <w:t xml:space="preserve">and regional </w:t>
      </w:r>
      <w:r w:rsidRPr="004B7097">
        <w:rPr>
          <w:iCs/>
        </w:rPr>
        <w:t xml:space="preserve">expertise from </w:t>
      </w:r>
      <w:r w:rsidR="004B7097" w:rsidRPr="004B7097">
        <w:rPr>
          <w:iCs/>
        </w:rPr>
        <w:t xml:space="preserve">UNDP </w:t>
      </w:r>
      <w:r w:rsidRPr="004B7097">
        <w:rPr>
          <w:iCs/>
        </w:rPr>
        <w:t>Regional Hub in Amman</w:t>
      </w:r>
      <w:r w:rsidR="004B7097" w:rsidRPr="004B7097">
        <w:rPr>
          <w:iCs/>
        </w:rPr>
        <w:t>, Regional Bureau in Arab States (RBAS) HQ in NY and Global Policy Network at the HQ in NY</w:t>
      </w:r>
      <w:r w:rsidRPr="004B7097">
        <w:rPr>
          <w:iCs/>
        </w:rPr>
        <w:t>. On a need basis, further resources and expertise will be deployed as outlined in the budget plan in the Annex.</w:t>
      </w:r>
      <w:r>
        <w:rPr>
          <w:iCs/>
        </w:rPr>
        <w:t xml:space="preserve"> </w:t>
      </w:r>
    </w:p>
    <w:p w14:paraId="356582AD" w14:textId="77777777" w:rsidR="008C1450" w:rsidRDefault="008C1450" w:rsidP="008C1450">
      <w:pPr>
        <w:spacing w:after="0"/>
        <w:rPr>
          <w:b/>
          <w:i/>
        </w:rPr>
      </w:pPr>
    </w:p>
    <w:p w14:paraId="1252EF9B" w14:textId="77777777" w:rsidR="00D72157" w:rsidRDefault="00D72157" w:rsidP="008C1450">
      <w:pPr>
        <w:spacing w:after="0"/>
        <w:rPr>
          <w:b/>
          <w:i/>
        </w:rPr>
      </w:pPr>
      <w:r w:rsidRPr="008C1450">
        <w:rPr>
          <w:b/>
          <w:i/>
        </w:rPr>
        <w:t>Partnerships</w:t>
      </w:r>
    </w:p>
    <w:p w14:paraId="12BECF19" w14:textId="77777777" w:rsidR="008C1450" w:rsidRDefault="008C1450" w:rsidP="008C1450">
      <w:pPr>
        <w:spacing w:after="0"/>
        <w:rPr>
          <w:b/>
          <w:i/>
        </w:rPr>
      </w:pPr>
    </w:p>
    <w:p w14:paraId="3D1BB7FE" w14:textId="77777777" w:rsidR="00C6714C" w:rsidRPr="005E3B1A" w:rsidRDefault="00220DC6" w:rsidP="008C1450">
      <w:pPr>
        <w:numPr>
          <w:ilvl w:val="0"/>
          <w:numId w:val="15"/>
        </w:numPr>
        <w:spacing w:after="0"/>
        <w:ind w:left="360"/>
        <w:rPr>
          <w:b/>
          <w:bCs/>
          <w:i/>
        </w:rPr>
      </w:pPr>
      <w:r w:rsidRPr="005E3B1A">
        <w:rPr>
          <w:b/>
          <w:bCs/>
          <w:i/>
        </w:rPr>
        <w:t>UN coordination and partnership</w:t>
      </w:r>
    </w:p>
    <w:p w14:paraId="6B6E50CE" w14:textId="77777777" w:rsidR="00FD59AA" w:rsidRPr="008C1450" w:rsidRDefault="00FD59AA" w:rsidP="00FD59AA">
      <w:pPr>
        <w:spacing w:after="0"/>
        <w:ind w:left="360"/>
        <w:rPr>
          <w:b/>
          <w:bCs/>
          <w:i/>
        </w:rPr>
      </w:pPr>
    </w:p>
    <w:p w14:paraId="021EDE42" w14:textId="77777777" w:rsidR="00947CE3" w:rsidRDefault="45534C59" w:rsidP="00947CE3">
      <w:pPr>
        <w:numPr>
          <w:ilvl w:val="1"/>
          <w:numId w:val="15"/>
        </w:numPr>
        <w:ind w:left="720"/>
      </w:pPr>
      <w:r w:rsidRPr="7DF5A6EA">
        <w:rPr>
          <w:b/>
          <w:bCs/>
        </w:rPr>
        <w:t>UN agencies</w:t>
      </w:r>
      <w:r w:rsidRPr="7DF5A6EA">
        <w:rPr>
          <w:i/>
          <w:iCs/>
        </w:rPr>
        <w:t xml:space="preserve">: </w:t>
      </w:r>
      <w:r w:rsidR="6F12FF29">
        <w:t>In Jordan, the PVE task force led by the RC office is an exchange platform to discuss PVE and Social cohesion related topics, comprising UN agencies and development partners. UNDP also built strategic partnership with UNFPA for the activities related to PVE and youth, under the 2250 Coalition (UNSCR2250; Youth, Peace and Security). In close collaboration with these UN agencies, UNDP will further strengthen the PVE and resilience efforts in the Kingdom.</w:t>
      </w:r>
    </w:p>
    <w:p w14:paraId="75414158" w14:textId="77777777" w:rsidR="00947CE3" w:rsidRPr="00947CE3" w:rsidRDefault="00947CE3" w:rsidP="00947CE3">
      <w:pPr>
        <w:ind w:left="360"/>
        <w:rPr>
          <w:iCs/>
        </w:rPr>
      </w:pPr>
    </w:p>
    <w:p w14:paraId="6374D617" w14:textId="1E272653" w:rsidR="00947CE3" w:rsidRDefault="00E81456" w:rsidP="00947CE3">
      <w:pPr>
        <w:numPr>
          <w:ilvl w:val="1"/>
          <w:numId w:val="15"/>
        </w:numPr>
        <w:ind w:left="720"/>
        <w:rPr>
          <w:iCs/>
        </w:rPr>
      </w:pPr>
      <w:r w:rsidRPr="00947CE3">
        <w:rPr>
          <w:b/>
          <w:bCs/>
          <w:iCs/>
        </w:rPr>
        <w:t>Government institutions</w:t>
      </w:r>
      <w:r w:rsidRPr="00947CE3">
        <w:rPr>
          <w:i/>
        </w:rPr>
        <w:t xml:space="preserve">: </w:t>
      </w:r>
      <w:r w:rsidR="008014E0" w:rsidRPr="00947CE3">
        <w:rPr>
          <w:iCs/>
        </w:rPr>
        <w:t xml:space="preserve">Through the implementation of the previous JSB projects, UNDP has been working closely with relevant government offices, </w:t>
      </w:r>
      <w:r w:rsidR="00B5699F" w:rsidRPr="00947CE3">
        <w:rPr>
          <w:iCs/>
        </w:rPr>
        <w:t>namely</w:t>
      </w:r>
      <w:r w:rsidR="008014E0" w:rsidRPr="00947CE3">
        <w:rPr>
          <w:iCs/>
        </w:rPr>
        <w:t xml:space="preserve"> the PVE Unit under the Prime Ministry</w:t>
      </w:r>
      <w:r w:rsidR="001722E7">
        <w:rPr>
          <w:iCs/>
        </w:rPr>
        <w:t xml:space="preserve">, which coordinates through the National P/CVE committee for all PVE related activities. Other examples include </w:t>
      </w:r>
      <w:r w:rsidR="008014E0" w:rsidRPr="00947CE3">
        <w:rPr>
          <w:iCs/>
        </w:rPr>
        <w:t>Community Policing Department under the Pubic Security Directorate</w:t>
      </w:r>
      <w:r w:rsidR="001722E7">
        <w:rPr>
          <w:iCs/>
        </w:rPr>
        <w:t>, Office of the Government Spokes Person, and other line ministries including the Ministry of Social Development</w:t>
      </w:r>
      <w:r w:rsidR="008014E0" w:rsidRPr="00947CE3">
        <w:rPr>
          <w:iCs/>
        </w:rPr>
        <w:t xml:space="preserve">. For the implementation of this project, UNDP Jordan </w:t>
      </w:r>
      <w:r w:rsidR="00B5699F" w:rsidRPr="00947CE3">
        <w:rPr>
          <w:iCs/>
        </w:rPr>
        <w:t>hopes to</w:t>
      </w:r>
      <w:r w:rsidR="008014E0" w:rsidRPr="00947CE3">
        <w:rPr>
          <w:iCs/>
        </w:rPr>
        <w:t xml:space="preserve"> further collaborate with relevant government partners in order to accelerate the PVE NAP activities by providing technical expertise and coordination support. </w:t>
      </w:r>
      <w:r w:rsidR="001722E7">
        <w:rPr>
          <w:iCs/>
        </w:rPr>
        <w:t xml:space="preserve"> </w:t>
      </w:r>
    </w:p>
    <w:p w14:paraId="14460A59" w14:textId="77777777" w:rsidR="00947CE3" w:rsidRDefault="00947CE3" w:rsidP="00947CE3">
      <w:pPr>
        <w:pStyle w:val="ListParagraph"/>
        <w:rPr>
          <w:b/>
          <w:bCs/>
          <w:iCs/>
        </w:rPr>
      </w:pPr>
    </w:p>
    <w:p w14:paraId="5E07B193" w14:textId="77777777" w:rsidR="0075398B" w:rsidRPr="00947CE3" w:rsidRDefault="00E81456" w:rsidP="00947CE3">
      <w:pPr>
        <w:numPr>
          <w:ilvl w:val="1"/>
          <w:numId w:val="15"/>
        </w:numPr>
        <w:ind w:left="720"/>
        <w:rPr>
          <w:iCs/>
        </w:rPr>
      </w:pPr>
      <w:r w:rsidRPr="00947CE3">
        <w:rPr>
          <w:b/>
          <w:bCs/>
          <w:iCs/>
        </w:rPr>
        <w:lastRenderedPageBreak/>
        <w:t>Civil society</w:t>
      </w:r>
      <w:r w:rsidR="006C4A61" w:rsidRPr="00947CE3">
        <w:rPr>
          <w:iCs/>
        </w:rPr>
        <w:t>:</w:t>
      </w:r>
      <w:r w:rsidR="006C4A61" w:rsidRPr="00947CE3">
        <w:rPr>
          <w:i/>
        </w:rPr>
        <w:t xml:space="preserve"> </w:t>
      </w:r>
      <w:r w:rsidR="006C4A61" w:rsidRPr="00947CE3">
        <w:rPr>
          <w:iCs/>
        </w:rPr>
        <w:t>Through the implementation of previous JSB projects,</w:t>
      </w:r>
      <w:r w:rsidR="006C4A61" w:rsidRPr="00947CE3">
        <w:rPr>
          <w:i/>
        </w:rPr>
        <w:t xml:space="preserve"> </w:t>
      </w:r>
      <w:r w:rsidR="006C4A61" w:rsidRPr="00947CE3">
        <w:rPr>
          <w:iCs/>
        </w:rPr>
        <w:t xml:space="preserve">UNDP </w:t>
      </w:r>
      <w:r w:rsidR="005F7D08" w:rsidRPr="00947CE3">
        <w:rPr>
          <w:iCs/>
        </w:rPr>
        <w:t xml:space="preserve">built </w:t>
      </w:r>
      <w:r w:rsidR="00C4455A" w:rsidRPr="00947CE3">
        <w:rPr>
          <w:iCs/>
        </w:rPr>
        <w:t xml:space="preserve">strong partnership with communities and </w:t>
      </w:r>
      <w:r w:rsidR="005F7D08" w:rsidRPr="00947CE3">
        <w:rPr>
          <w:iCs/>
        </w:rPr>
        <w:t>networks</w:t>
      </w:r>
      <w:r w:rsidR="006C4A61" w:rsidRPr="00947CE3">
        <w:rPr>
          <w:iCs/>
        </w:rPr>
        <w:t xml:space="preserve"> of CBOs for PVE</w:t>
      </w:r>
      <w:r w:rsidR="00C4455A" w:rsidRPr="00947CE3">
        <w:rPr>
          <w:iCs/>
        </w:rPr>
        <w:t>, s</w:t>
      </w:r>
      <w:r w:rsidR="006C4A61" w:rsidRPr="00947CE3">
        <w:rPr>
          <w:iCs/>
        </w:rPr>
        <w:t xml:space="preserve">ocial </w:t>
      </w:r>
      <w:r w:rsidR="00C4455A" w:rsidRPr="00947CE3">
        <w:rPr>
          <w:iCs/>
        </w:rPr>
        <w:t>c</w:t>
      </w:r>
      <w:r w:rsidR="006C4A61" w:rsidRPr="00947CE3">
        <w:rPr>
          <w:iCs/>
        </w:rPr>
        <w:t>ohesion</w:t>
      </w:r>
      <w:r w:rsidR="00C4455A" w:rsidRPr="00947CE3">
        <w:rPr>
          <w:iCs/>
        </w:rPr>
        <w:t>, and livelihoods</w:t>
      </w:r>
      <w:r w:rsidR="00E5555A" w:rsidRPr="00947CE3">
        <w:rPr>
          <w:iCs/>
        </w:rPr>
        <w:t xml:space="preserve"> </w:t>
      </w:r>
      <w:r w:rsidR="00C4455A" w:rsidRPr="00947CE3">
        <w:rPr>
          <w:iCs/>
        </w:rPr>
        <w:t xml:space="preserve">intervention </w:t>
      </w:r>
      <w:r w:rsidR="00E5555A" w:rsidRPr="00947CE3">
        <w:rPr>
          <w:iCs/>
        </w:rPr>
        <w:t>(</w:t>
      </w:r>
      <w:r w:rsidR="00C4455A" w:rsidRPr="00947CE3">
        <w:rPr>
          <w:iCs/>
        </w:rPr>
        <w:t xml:space="preserve">i.e. </w:t>
      </w:r>
      <w:r w:rsidR="00E5555A" w:rsidRPr="00947CE3">
        <w:rPr>
          <w:iCs/>
        </w:rPr>
        <w:t>Jordan Prevention Platform</w:t>
      </w:r>
      <w:r w:rsidR="005F7D08" w:rsidRPr="00947CE3">
        <w:rPr>
          <w:iCs/>
        </w:rPr>
        <w:t xml:space="preserve"> and Mateen Network</w:t>
      </w:r>
      <w:r w:rsidR="00E5555A" w:rsidRPr="00947CE3">
        <w:rPr>
          <w:iCs/>
        </w:rPr>
        <w:t>)</w:t>
      </w:r>
      <w:r w:rsidR="008014E0" w:rsidRPr="00947CE3">
        <w:rPr>
          <w:iCs/>
        </w:rPr>
        <w:t xml:space="preserve">. </w:t>
      </w:r>
      <w:r w:rsidR="00C4455A" w:rsidRPr="00947CE3">
        <w:rPr>
          <w:iCs/>
        </w:rPr>
        <w:t xml:space="preserve">As </w:t>
      </w:r>
      <w:r w:rsidR="008014E0" w:rsidRPr="00947CE3">
        <w:rPr>
          <w:iCs/>
        </w:rPr>
        <w:t>t</w:t>
      </w:r>
      <w:r w:rsidR="006C4A61" w:rsidRPr="00947CE3">
        <w:rPr>
          <w:iCs/>
        </w:rPr>
        <w:t xml:space="preserve">he PVE NAP </w:t>
      </w:r>
      <w:r w:rsidR="00C4455A" w:rsidRPr="00947CE3">
        <w:rPr>
          <w:iCs/>
        </w:rPr>
        <w:t xml:space="preserve">calls for a whole of society approach </w:t>
      </w:r>
      <w:r w:rsidR="00B14E92" w:rsidRPr="00947CE3">
        <w:rPr>
          <w:iCs/>
        </w:rPr>
        <w:t>while</w:t>
      </w:r>
      <w:r w:rsidR="00C4455A" w:rsidRPr="00947CE3">
        <w:rPr>
          <w:iCs/>
        </w:rPr>
        <w:t xml:space="preserve"> </w:t>
      </w:r>
      <w:r w:rsidR="006C4A61" w:rsidRPr="00947CE3">
        <w:rPr>
          <w:iCs/>
        </w:rPr>
        <w:t>stress</w:t>
      </w:r>
      <w:r w:rsidR="00B14E92" w:rsidRPr="00947CE3">
        <w:rPr>
          <w:iCs/>
        </w:rPr>
        <w:t>ing</w:t>
      </w:r>
      <w:r w:rsidR="006C4A61" w:rsidRPr="00947CE3">
        <w:rPr>
          <w:iCs/>
        </w:rPr>
        <w:t xml:space="preserve"> the importance of collaborating with </w:t>
      </w:r>
      <w:r w:rsidR="008014E0" w:rsidRPr="00947CE3">
        <w:rPr>
          <w:iCs/>
        </w:rPr>
        <w:t xml:space="preserve">civil society, </w:t>
      </w:r>
      <w:r w:rsidR="006C4A61" w:rsidRPr="00947CE3">
        <w:rPr>
          <w:iCs/>
        </w:rPr>
        <w:t>UNDP continues to work with the CBO</w:t>
      </w:r>
      <w:r w:rsidR="008014E0" w:rsidRPr="00947CE3">
        <w:rPr>
          <w:iCs/>
        </w:rPr>
        <w:t>s</w:t>
      </w:r>
      <w:r w:rsidR="006C4A61" w:rsidRPr="00947CE3">
        <w:rPr>
          <w:iCs/>
        </w:rPr>
        <w:t>/CSO</w:t>
      </w:r>
      <w:r w:rsidR="008014E0" w:rsidRPr="00947CE3">
        <w:rPr>
          <w:iCs/>
        </w:rPr>
        <w:t>s</w:t>
      </w:r>
      <w:r w:rsidR="006C4A61" w:rsidRPr="00947CE3">
        <w:rPr>
          <w:iCs/>
        </w:rPr>
        <w:t xml:space="preserve"> to maximize the impact of this project. </w:t>
      </w:r>
      <w:r w:rsidR="00B14E92" w:rsidRPr="00947CE3">
        <w:rPr>
          <w:iCs/>
        </w:rPr>
        <w:t>In this way, this project will help tackle the drivers of violent extremism and enhance social cohesion in Jordan</w:t>
      </w:r>
      <w:r w:rsidR="00EC401E" w:rsidRPr="00947CE3">
        <w:rPr>
          <w:iCs/>
        </w:rPr>
        <w:t>.</w:t>
      </w:r>
    </w:p>
    <w:p w14:paraId="68344BE9" w14:textId="77777777" w:rsidR="00BF71C3" w:rsidRPr="00587B74" w:rsidRDefault="00BF71C3" w:rsidP="00BF71C3">
      <w:pPr>
        <w:pStyle w:val="ListParagraph"/>
        <w:rPr>
          <w:i/>
        </w:rPr>
      </w:pPr>
    </w:p>
    <w:p w14:paraId="39511EFC" w14:textId="77777777" w:rsidR="00220DC6" w:rsidRPr="00587B74" w:rsidRDefault="00220DC6" w:rsidP="008C1450">
      <w:pPr>
        <w:numPr>
          <w:ilvl w:val="0"/>
          <w:numId w:val="15"/>
        </w:numPr>
        <w:spacing w:after="0"/>
        <w:ind w:left="360"/>
        <w:rPr>
          <w:b/>
          <w:bCs/>
          <w:i/>
        </w:rPr>
      </w:pPr>
      <w:r w:rsidRPr="00587B74">
        <w:rPr>
          <w:b/>
          <w:bCs/>
          <w:i/>
        </w:rPr>
        <w:t>Partnership with Japan</w:t>
      </w:r>
    </w:p>
    <w:p w14:paraId="781E6E41" w14:textId="77777777" w:rsidR="00FD59AA" w:rsidRPr="00587B74" w:rsidRDefault="00FD59AA" w:rsidP="00FD59AA">
      <w:pPr>
        <w:spacing w:after="0"/>
        <w:ind w:left="360"/>
        <w:rPr>
          <w:b/>
          <w:bCs/>
          <w:i/>
        </w:rPr>
      </w:pPr>
    </w:p>
    <w:p w14:paraId="4278A31B" w14:textId="77777777" w:rsidR="00947CE3" w:rsidRDefault="00220DC6" w:rsidP="00947CE3">
      <w:pPr>
        <w:numPr>
          <w:ilvl w:val="1"/>
          <w:numId w:val="15"/>
        </w:numPr>
        <w:ind w:left="720"/>
        <w:rPr>
          <w:iCs/>
        </w:rPr>
      </w:pPr>
      <w:r w:rsidRPr="00587B74">
        <w:rPr>
          <w:b/>
          <w:bCs/>
          <w:iCs/>
        </w:rPr>
        <w:t>Communication strategy</w:t>
      </w:r>
      <w:r w:rsidR="00587B74" w:rsidRPr="00587B74">
        <w:rPr>
          <w:b/>
          <w:bCs/>
          <w:iCs/>
        </w:rPr>
        <w:t xml:space="preserve"> and visibility</w:t>
      </w:r>
      <w:r w:rsidRPr="00587B74">
        <w:rPr>
          <w:iCs/>
        </w:rPr>
        <w:t xml:space="preserve">: </w:t>
      </w:r>
      <w:r w:rsidR="00FC4459" w:rsidRPr="00947CE3">
        <w:rPr>
          <w:iCs/>
        </w:rPr>
        <w:t>In coordination with the Embassy of Japan in Jordan</w:t>
      </w:r>
      <w:r w:rsidR="00587B74" w:rsidRPr="00947CE3">
        <w:rPr>
          <w:iCs/>
        </w:rPr>
        <w:t xml:space="preserve"> and in line with UNDP RBAS’s Japan Visibility Action Plan</w:t>
      </w:r>
      <w:r w:rsidR="00FC4459" w:rsidRPr="00947CE3">
        <w:rPr>
          <w:iCs/>
        </w:rPr>
        <w:t xml:space="preserve">, UNDP </w:t>
      </w:r>
      <w:r w:rsidR="00587B74" w:rsidRPr="00947CE3">
        <w:rPr>
          <w:iCs/>
        </w:rPr>
        <w:t xml:space="preserve">Jordan </w:t>
      </w:r>
      <w:r w:rsidR="00FC4459" w:rsidRPr="00947CE3">
        <w:rPr>
          <w:iCs/>
        </w:rPr>
        <w:t>will prepare a communication and visibility plan for the implementation of the project by aligning with UNDP RBAS’s Japan Visibility Action Plan. To ensure the visibility of the Government of Japan’s contribution, UNDP Jordan will deliver a project profile and provide regular updates in its website and on social media. Particularly, UNDP will prioritize in publishing project success stories and human centered stories by featuring project beneficiaries. Further, when the report or any other written product is developed (i.e. brochures and publications), the Government of Japan’s acknowledgment (including logos) will be included with further reference to the Japanese contribution in press releases and speeches relating to events. UNDP will regularly consult with the Embassy of Japan throughout the project to ensure it is well-informed of project implementation and achievement, and to organize the field visits and participation in events at different levels (i.e. high level and technical level events). During the project implementation period, the Embassy will be a key member of the Project Board and its technical steering committee, as well as the donor consultation meeting related to PVE and human security, which UNDP will support the relevant government office in the organization. Furthermore, UNDP will provide regular reporting and communications by sharing progress reports and/or holding frequent meetings/consultation at working level so as to ensure accountability and strengthen its working relationship with the Embassy of Japan.</w:t>
      </w:r>
    </w:p>
    <w:p w14:paraId="29162770" w14:textId="77777777" w:rsidR="00947CE3" w:rsidRPr="00947CE3" w:rsidRDefault="00947CE3" w:rsidP="00947CE3">
      <w:pPr>
        <w:ind w:left="720"/>
        <w:rPr>
          <w:iCs/>
        </w:rPr>
      </w:pPr>
    </w:p>
    <w:p w14:paraId="51F3CB5A" w14:textId="77777777" w:rsidR="00947CE3" w:rsidRDefault="00220DC6" w:rsidP="00947CE3">
      <w:pPr>
        <w:numPr>
          <w:ilvl w:val="1"/>
          <w:numId w:val="15"/>
        </w:numPr>
        <w:ind w:left="720"/>
        <w:rPr>
          <w:iCs/>
        </w:rPr>
      </w:pPr>
      <w:r w:rsidRPr="00947CE3">
        <w:rPr>
          <w:b/>
          <w:bCs/>
          <w:iCs/>
        </w:rPr>
        <w:t>Involvement of Japanese nationals in the project</w:t>
      </w:r>
      <w:r w:rsidRPr="00947CE3">
        <w:rPr>
          <w:iCs/>
        </w:rPr>
        <w:t xml:space="preserve">: The Programme </w:t>
      </w:r>
      <w:r w:rsidR="00BC015E" w:rsidRPr="00947CE3">
        <w:rPr>
          <w:iCs/>
        </w:rPr>
        <w:t xml:space="preserve">Specialist, </w:t>
      </w:r>
      <w:r w:rsidRPr="00947CE3">
        <w:rPr>
          <w:iCs/>
        </w:rPr>
        <w:t xml:space="preserve">a Japanese national, is providing </w:t>
      </w:r>
      <w:r w:rsidR="002C75BE" w:rsidRPr="00947CE3">
        <w:rPr>
          <w:iCs/>
        </w:rPr>
        <w:t xml:space="preserve">technical expertise in urban planning and social cohesion, programme management support and </w:t>
      </w:r>
      <w:r w:rsidRPr="00947CE3">
        <w:rPr>
          <w:iCs/>
        </w:rPr>
        <w:t xml:space="preserve">policy development to the UNDP Jordan </w:t>
      </w:r>
      <w:r w:rsidR="00BC015E" w:rsidRPr="00947CE3">
        <w:rPr>
          <w:iCs/>
        </w:rPr>
        <w:t xml:space="preserve">Inclusive </w:t>
      </w:r>
      <w:r w:rsidR="002C75BE" w:rsidRPr="00947CE3">
        <w:rPr>
          <w:iCs/>
        </w:rPr>
        <w:t xml:space="preserve">Growth </w:t>
      </w:r>
      <w:r w:rsidR="00BC015E" w:rsidRPr="00947CE3">
        <w:rPr>
          <w:iCs/>
        </w:rPr>
        <w:t xml:space="preserve">and </w:t>
      </w:r>
      <w:r w:rsidR="002C75BE" w:rsidRPr="00947CE3">
        <w:rPr>
          <w:iCs/>
        </w:rPr>
        <w:t xml:space="preserve">Sustainable Livelihoods </w:t>
      </w:r>
      <w:r w:rsidRPr="00947CE3">
        <w:rPr>
          <w:iCs/>
        </w:rPr>
        <w:t xml:space="preserve">Team. She will </w:t>
      </w:r>
      <w:r w:rsidR="00BC015E" w:rsidRPr="00947CE3">
        <w:rPr>
          <w:iCs/>
        </w:rPr>
        <w:t xml:space="preserve">continue </w:t>
      </w:r>
      <w:r w:rsidR="001A0A2E" w:rsidRPr="00947CE3">
        <w:rPr>
          <w:iCs/>
        </w:rPr>
        <w:t xml:space="preserve">manage this project </w:t>
      </w:r>
      <w:r w:rsidR="000A7B1D" w:rsidRPr="00947CE3">
        <w:rPr>
          <w:iCs/>
        </w:rPr>
        <w:t>a</w:t>
      </w:r>
      <w:r w:rsidR="00BC015E" w:rsidRPr="00947CE3">
        <w:rPr>
          <w:iCs/>
        </w:rPr>
        <w:t>s a project manager by p</w:t>
      </w:r>
      <w:r w:rsidRPr="00947CE3">
        <w:rPr>
          <w:iCs/>
        </w:rPr>
        <w:t xml:space="preserve">roviding technical expertise and coordination on </w:t>
      </w:r>
      <w:r w:rsidR="00BC015E" w:rsidRPr="00947CE3">
        <w:rPr>
          <w:iCs/>
        </w:rPr>
        <w:t xml:space="preserve">human security, </w:t>
      </w:r>
      <w:r w:rsidRPr="00947CE3">
        <w:rPr>
          <w:iCs/>
        </w:rPr>
        <w:t xml:space="preserve">PVE, </w:t>
      </w:r>
      <w:r w:rsidR="00BC015E" w:rsidRPr="00947CE3">
        <w:rPr>
          <w:iCs/>
        </w:rPr>
        <w:t xml:space="preserve">resilience and </w:t>
      </w:r>
      <w:r w:rsidR="002C75BE" w:rsidRPr="00947CE3">
        <w:rPr>
          <w:iCs/>
        </w:rPr>
        <w:t>urban development</w:t>
      </w:r>
      <w:r w:rsidR="00BC015E" w:rsidRPr="00947CE3">
        <w:rPr>
          <w:iCs/>
        </w:rPr>
        <w:t xml:space="preserve"> </w:t>
      </w:r>
      <w:r w:rsidRPr="00947CE3">
        <w:rPr>
          <w:iCs/>
        </w:rPr>
        <w:t>issues</w:t>
      </w:r>
      <w:r w:rsidR="00BC015E" w:rsidRPr="00947CE3">
        <w:rPr>
          <w:iCs/>
        </w:rPr>
        <w:t>, as well as by closely collaborating with the Embassy of Japan in Jordan</w:t>
      </w:r>
      <w:r w:rsidRPr="00947CE3">
        <w:rPr>
          <w:iCs/>
        </w:rPr>
        <w:t xml:space="preserve">. </w:t>
      </w:r>
    </w:p>
    <w:p w14:paraId="10CD2978" w14:textId="77777777" w:rsidR="00947CE3" w:rsidRDefault="00947CE3" w:rsidP="00947CE3">
      <w:pPr>
        <w:pStyle w:val="ListParagraph"/>
        <w:rPr>
          <w:iCs/>
        </w:rPr>
      </w:pPr>
    </w:p>
    <w:p w14:paraId="29BC980B" w14:textId="77777777" w:rsidR="00947CE3" w:rsidRDefault="00220DC6" w:rsidP="00947CE3">
      <w:pPr>
        <w:numPr>
          <w:ilvl w:val="1"/>
          <w:numId w:val="15"/>
        </w:numPr>
        <w:ind w:left="720"/>
        <w:rPr>
          <w:iCs/>
        </w:rPr>
      </w:pPr>
      <w:r w:rsidRPr="00947CE3">
        <w:rPr>
          <w:b/>
          <w:bCs/>
          <w:iCs/>
        </w:rPr>
        <w:t>Involvement of Japanese NGO</w:t>
      </w:r>
      <w:r w:rsidRPr="00947CE3">
        <w:rPr>
          <w:iCs/>
        </w:rPr>
        <w:t xml:space="preserve">: </w:t>
      </w:r>
      <w:r w:rsidR="00FC4459" w:rsidRPr="00947CE3">
        <w:rPr>
          <w:iCs/>
        </w:rPr>
        <w:t>UNDP will seek collaboration with Japanese NGOs, such as NICCOD and KnK, on community engagement and youth issues. By inviting them to participate in the Prevention Network, UNDP ensures the complementarity of the Government of Japan’s support in Jordan and effective strategic working engagement between Japanese NGOs and Jordanian CBOs/CSOs.</w:t>
      </w:r>
    </w:p>
    <w:p w14:paraId="4321A15B" w14:textId="77777777" w:rsidR="00947CE3" w:rsidRDefault="00947CE3" w:rsidP="00947CE3">
      <w:pPr>
        <w:pStyle w:val="ListParagraph"/>
        <w:rPr>
          <w:iCs/>
        </w:rPr>
      </w:pPr>
    </w:p>
    <w:p w14:paraId="7C380535" w14:textId="29242064" w:rsidR="00947CE3" w:rsidRPr="00947CE3" w:rsidRDefault="00220DC6" w:rsidP="00947CE3">
      <w:pPr>
        <w:numPr>
          <w:ilvl w:val="1"/>
          <w:numId w:val="15"/>
        </w:numPr>
        <w:ind w:left="720"/>
        <w:rPr>
          <w:iCs/>
        </w:rPr>
      </w:pPr>
      <w:r w:rsidRPr="00947CE3">
        <w:rPr>
          <w:b/>
          <w:bCs/>
          <w:iCs/>
        </w:rPr>
        <w:t>Linkage with Japan’s development assistance activities</w:t>
      </w:r>
      <w:r w:rsidRPr="00947CE3">
        <w:rPr>
          <w:iCs/>
        </w:rPr>
        <w:t xml:space="preserve">: </w:t>
      </w:r>
      <w:r w:rsidR="002846F8" w:rsidRPr="00D41414">
        <w:t xml:space="preserve">UNDP recognizes JICA’s comparative advantage in human security approach and projects, as well as JICA Research Institute’s various research in this topic. Therefore, UNDP </w:t>
      </w:r>
      <w:r w:rsidR="00D41414" w:rsidRPr="00D41414">
        <w:t xml:space="preserve">invited JICA Jordan Office and JICA Ogata Research Institute in December 2020 to be part of a webinar series, Takatof, to re-introduce the concept of human security to Jordanian listeners as part of the support against COVID-19. </w:t>
      </w:r>
      <w:r w:rsidR="00D41414" w:rsidRPr="00947CE3">
        <w:rPr>
          <w:iCs/>
        </w:rPr>
        <w:t xml:space="preserve">UNDP </w:t>
      </w:r>
      <w:r w:rsidR="002846F8" w:rsidRPr="00D41414">
        <w:t xml:space="preserve">will </w:t>
      </w:r>
      <w:r w:rsidR="00D41414" w:rsidRPr="00D41414">
        <w:t xml:space="preserve">continue </w:t>
      </w:r>
      <w:r w:rsidR="002846F8" w:rsidRPr="00D41414">
        <w:t>seek</w:t>
      </w:r>
      <w:r w:rsidR="00D41414" w:rsidRPr="00D41414">
        <w:t>ing</w:t>
      </w:r>
      <w:r w:rsidR="002846F8" w:rsidRPr="00D41414">
        <w:t xml:space="preserve"> cooperation and guidance from JICA to establish the human security approach in PVE programming and other social cohesion and livelihoods projects in Jordan.</w:t>
      </w:r>
    </w:p>
    <w:p w14:paraId="0C2CCAB4" w14:textId="77777777" w:rsidR="00947CE3" w:rsidRDefault="00947CE3" w:rsidP="00947CE3">
      <w:pPr>
        <w:pStyle w:val="ListParagraph"/>
        <w:rPr>
          <w:iCs/>
        </w:rPr>
      </w:pPr>
    </w:p>
    <w:p w14:paraId="2D690607" w14:textId="77777777" w:rsidR="00220DC6" w:rsidRPr="00947CE3" w:rsidRDefault="00220DC6" w:rsidP="00947CE3">
      <w:pPr>
        <w:numPr>
          <w:ilvl w:val="1"/>
          <w:numId w:val="15"/>
        </w:numPr>
        <w:ind w:left="720"/>
        <w:rPr>
          <w:iCs/>
        </w:rPr>
      </w:pPr>
      <w:r w:rsidRPr="00947CE3">
        <w:rPr>
          <w:b/>
          <w:bCs/>
          <w:iCs/>
        </w:rPr>
        <w:t>Involvement of Japanese private sector</w:t>
      </w:r>
      <w:r w:rsidRPr="00947CE3">
        <w:rPr>
          <w:iCs/>
        </w:rPr>
        <w:t xml:space="preserve">: UNDP has </w:t>
      </w:r>
      <w:r w:rsidR="00432987" w:rsidRPr="00947CE3">
        <w:rPr>
          <w:iCs/>
        </w:rPr>
        <w:t xml:space="preserve">been seeking a </w:t>
      </w:r>
      <w:r w:rsidRPr="00947CE3">
        <w:rPr>
          <w:iCs/>
        </w:rPr>
        <w:t xml:space="preserve">partnership </w:t>
      </w:r>
      <w:r w:rsidR="00A27096" w:rsidRPr="00947CE3">
        <w:rPr>
          <w:iCs/>
        </w:rPr>
        <w:t xml:space="preserve">with Japanese private sector </w:t>
      </w:r>
      <w:r w:rsidR="00947CE3">
        <w:rPr>
          <w:iCs/>
        </w:rPr>
        <w:t xml:space="preserve">to focus on </w:t>
      </w:r>
      <w:r w:rsidRPr="00947CE3">
        <w:rPr>
          <w:iCs/>
        </w:rPr>
        <w:t>youth em</w:t>
      </w:r>
      <w:r w:rsidR="00A27096" w:rsidRPr="00947CE3">
        <w:rPr>
          <w:iCs/>
        </w:rPr>
        <w:t>ployment and empowerment</w:t>
      </w:r>
      <w:r w:rsidR="00D74AFB" w:rsidRPr="00947CE3">
        <w:rPr>
          <w:iCs/>
        </w:rPr>
        <w:t xml:space="preserve">, social cohesion </w:t>
      </w:r>
      <w:r w:rsidR="00D74AFB" w:rsidRPr="00947CE3">
        <w:rPr>
          <w:iCs/>
        </w:rPr>
        <w:lastRenderedPageBreak/>
        <w:t>and livelihoods</w:t>
      </w:r>
      <w:r w:rsidR="00A27096" w:rsidRPr="00947CE3">
        <w:rPr>
          <w:iCs/>
        </w:rPr>
        <w:t xml:space="preserve">. Where possible, UNDP </w:t>
      </w:r>
      <w:r w:rsidR="00947CE3">
        <w:rPr>
          <w:iCs/>
        </w:rPr>
        <w:t>hopes</w:t>
      </w:r>
      <w:r w:rsidR="00A27096" w:rsidRPr="00947CE3">
        <w:rPr>
          <w:iCs/>
        </w:rPr>
        <w:t xml:space="preserve"> to work closely with</w:t>
      </w:r>
      <w:r w:rsidR="008E22A2" w:rsidRPr="00947CE3">
        <w:rPr>
          <w:iCs/>
        </w:rPr>
        <w:t xml:space="preserve"> them </w:t>
      </w:r>
      <w:r w:rsidR="00947CE3">
        <w:rPr>
          <w:iCs/>
        </w:rPr>
        <w:t>in order</w:t>
      </w:r>
      <w:r w:rsidR="008E22A2" w:rsidRPr="00947CE3">
        <w:rPr>
          <w:iCs/>
        </w:rPr>
        <w:t xml:space="preserve"> to bring </w:t>
      </w:r>
      <w:r w:rsidR="00947CE3">
        <w:rPr>
          <w:iCs/>
        </w:rPr>
        <w:t xml:space="preserve">a </w:t>
      </w:r>
      <w:r w:rsidR="008E22A2" w:rsidRPr="00947CE3">
        <w:rPr>
          <w:iCs/>
        </w:rPr>
        <w:t xml:space="preserve">new way of working </w:t>
      </w:r>
      <w:r w:rsidR="003003D2">
        <w:rPr>
          <w:iCs/>
        </w:rPr>
        <w:t>to</w:t>
      </w:r>
      <w:r w:rsidR="008E22A2" w:rsidRPr="00947CE3">
        <w:rPr>
          <w:iCs/>
        </w:rPr>
        <w:t xml:space="preserve"> development-related work</w:t>
      </w:r>
      <w:r w:rsidR="006C4A61" w:rsidRPr="00947CE3">
        <w:rPr>
          <w:iCs/>
        </w:rPr>
        <w:t>s</w:t>
      </w:r>
      <w:r w:rsidR="008E22A2" w:rsidRPr="00947CE3">
        <w:rPr>
          <w:iCs/>
        </w:rPr>
        <w:t xml:space="preserve"> in Jordan</w:t>
      </w:r>
      <w:r w:rsidRPr="00947CE3">
        <w:rPr>
          <w:iCs/>
        </w:rPr>
        <w:t>.</w:t>
      </w:r>
    </w:p>
    <w:p w14:paraId="3118FB95" w14:textId="77777777" w:rsidR="008C1450" w:rsidRDefault="008C1450" w:rsidP="008C1450">
      <w:pPr>
        <w:spacing w:after="0"/>
        <w:rPr>
          <w:b/>
          <w:i/>
        </w:rPr>
      </w:pPr>
    </w:p>
    <w:p w14:paraId="26785015" w14:textId="77777777" w:rsidR="00E006ED" w:rsidRPr="00CA15E3" w:rsidRDefault="00E006ED" w:rsidP="008C1450">
      <w:pPr>
        <w:spacing w:after="0"/>
        <w:rPr>
          <w:b/>
          <w:i/>
        </w:rPr>
      </w:pPr>
      <w:r w:rsidRPr="00CA15E3">
        <w:rPr>
          <w:b/>
          <w:i/>
        </w:rPr>
        <w:t>Risks</w:t>
      </w:r>
      <w:r w:rsidR="0001785A" w:rsidRPr="00CA15E3">
        <w:rPr>
          <w:b/>
          <w:i/>
        </w:rPr>
        <w:t xml:space="preserve"> </w:t>
      </w:r>
      <w:r w:rsidR="00606833" w:rsidRPr="00CA15E3">
        <w:rPr>
          <w:b/>
          <w:i/>
        </w:rPr>
        <w:t>and Assumptions</w:t>
      </w:r>
    </w:p>
    <w:p w14:paraId="70A4FE02" w14:textId="77777777" w:rsidR="008C1450" w:rsidRPr="00CA15E3" w:rsidRDefault="008C1450" w:rsidP="00BA29E4">
      <w:pPr>
        <w:rPr>
          <w:iCs/>
        </w:rPr>
      </w:pPr>
    </w:p>
    <w:p w14:paraId="04B17E67" w14:textId="77777777" w:rsidR="007E50CD" w:rsidRDefault="007E50CD" w:rsidP="00BA29E4">
      <w:pPr>
        <w:rPr>
          <w:iCs/>
        </w:rPr>
      </w:pPr>
      <w:r w:rsidRPr="00CA15E3">
        <w:rPr>
          <w:iCs/>
        </w:rPr>
        <w:t>Besides more traditional risk relating to the capacity and engagement of partnership organizations, key risks for this project include critical changes in the external environment</w:t>
      </w:r>
      <w:r w:rsidR="001C759B" w:rsidRPr="00CA15E3">
        <w:rPr>
          <w:iCs/>
        </w:rPr>
        <w:t xml:space="preserve"> (i.e. government and civil society)</w:t>
      </w:r>
      <w:r w:rsidRPr="00CA15E3">
        <w:rPr>
          <w:iCs/>
        </w:rPr>
        <w:t>. The rest of the risks and assum</w:t>
      </w:r>
      <w:r w:rsidR="00E81F81" w:rsidRPr="00CA15E3">
        <w:rPr>
          <w:iCs/>
        </w:rPr>
        <w:t>ptions are as follows</w:t>
      </w:r>
      <w:r w:rsidR="001C759B" w:rsidRPr="00CA15E3">
        <w:rPr>
          <w:iCs/>
        </w:rPr>
        <w:t xml:space="preserve"> (Probability: P1-P5 where P5</w:t>
      </w:r>
      <w:r w:rsidR="0006349F" w:rsidRPr="00CA15E3">
        <w:rPr>
          <w:iCs/>
        </w:rPr>
        <w:t xml:space="preserve"> is the </w:t>
      </w:r>
      <w:r w:rsidR="001C759B" w:rsidRPr="00CA15E3">
        <w:rPr>
          <w:iCs/>
        </w:rPr>
        <w:t>highest</w:t>
      </w:r>
      <w:r w:rsidR="0006349F" w:rsidRPr="00CA15E3">
        <w:rPr>
          <w:iCs/>
        </w:rPr>
        <w:t>; Impact: I1</w:t>
      </w:r>
      <w:r w:rsidR="001C759B" w:rsidRPr="00CA15E3">
        <w:rPr>
          <w:iCs/>
        </w:rPr>
        <w:t>-I5 where I5 is the highest</w:t>
      </w:r>
      <w:r w:rsidR="0006349F" w:rsidRPr="00CA15E3">
        <w:rPr>
          <w:iCs/>
        </w:rPr>
        <w:t>)</w:t>
      </w:r>
      <w:r w:rsidR="001C759B" w:rsidRPr="00CA15E3">
        <w:rPr>
          <w:iCs/>
        </w:rPr>
        <w:t>.</w:t>
      </w:r>
    </w:p>
    <w:p w14:paraId="284AE9A5" w14:textId="77777777" w:rsidR="00E81F81" w:rsidRDefault="00E81F81" w:rsidP="00BA29E4">
      <w:pPr>
        <w:rPr>
          <w:iCs/>
        </w:rPr>
      </w:pP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260"/>
        <w:gridCol w:w="3870"/>
        <w:gridCol w:w="1363"/>
      </w:tblGrid>
      <w:tr w:rsidR="00A820BB" w:rsidRPr="00D872D1" w14:paraId="42293819" w14:textId="77777777" w:rsidTr="00D872D1">
        <w:tc>
          <w:tcPr>
            <w:tcW w:w="1440" w:type="dxa"/>
            <w:shd w:val="clear" w:color="auto" w:fill="B8CCE4"/>
          </w:tcPr>
          <w:p w14:paraId="5CF22992" w14:textId="77777777" w:rsidR="00E81F81" w:rsidRPr="00D872D1" w:rsidRDefault="00E81F81" w:rsidP="001263B2">
            <w:pPr>
              <w:widowControl w:val="0"/>
              <w:rPr>
                <w:rFonts w:cs="Arial"/>
                <w:sz w:val="18"/>
                <w:szCs w:val="18"/>
              </w:rPr>
            </w:pPr>
            <w:r w:rsidRPr="00D872D1">
              <w:rPr>
                <w:rFonts w:cs="Arial"/>
                <w:sz w:val="18"/>
                <w:szCs w:val="18"/>
              </w:rPr>
              <w:t>Description</w:t>
            </w:r>
          </w:p>
        </w:tc>
        <w:tc>
          <w:tcPr>
            <w:tcW w:w="1980" w:type="dxa"/>
            <w:shd w:val="clear" w:color="auto" w:fill="B8CCE4"/>
          </w:tcPr>
          <w:p w14:paraId="51319C95" w14:textId="77777777" w:rsidR="00E81F81" w:rsidRPr="00D872D1" w:rsidRDefault="00E81F81" w:rsidP="001263B2">
            <w:pPr>
              <w:widowControl w:val="0"/>
              <w:rPr>
                <w:rFonts w:cs="Arial"/>
                <w:sz w:val="18"/>
                <w:szCs w:val="18"/>
              </w:rPr>
            </w:pPr>
            <w:r w:rsidRPr="00D872D1">
              <w:rPr>
                <w:rFonts w:cs="Arial"/>
                <w:sz w:val="18"/>
                <w:szCs w:val="18"/>
              </w:rPr>
              <w:t>Type</w:t>
            </w:r>
          </w:p>
        </w:tc>
        <w:tc>
          <w:tcPr>
            <w:tcW w:w="1260" w:type="dxa"/>
            <w:shd w:val="clear" w:color="auto" w:fill="B8CCE4"/>
          </w:tcPr>
          <w:p w14:paraId="7750D219" w14:textId="77777777" w:rsidR="00E81F81" w:rsidRPr="00D872D1" w:rsidRDefault="00E81F81" w:rsidP="001263B2">
            <w:pPr>
              <w:widowControl w:val="0"/>
              <w:rPr>
                <w:rFonts w:cs="Arial"/>
                <w:sz w:val="18"/>
                <w:szCs w:val="18"/>
              </w:rPr>
            </w:pPr>
            <w:r w:rsidRPr="00D872D1">
              <w:rPr>
                <w:rFonts w:cs="Arial"/>
                <w:sz w:val="18"/>
                <w:szCs w:val="18"/>
              </w:rPr>
              <w:t>Probability &amp; Impact</w:t>
            </w:r>
          </w:p>
        </w:tc>
        <w:tc>
          <w:tcPr>
            <w:tcW w:w="3870" w:type="dxa"/>
            <w:shd w:val="clear" w:color="auto" w:fill="B8CCE4"/>
          </w:tcPr>
          <w:p w14:paraId="7298FE58" w14:textId="77777777" w:rsidR="00E81F81" w:rsidRPr="00D872D1" w:rsidRDefault="00E81F81" w:rsidP="001263B2">
            <w:pPr>
              <w:widowControl w:val="0"/>
              <w:rPr>
                <w:rFonts w:cs="Arial"/>
                <w:sz w:val="18"/>
                <w:szCs w:val="18"/>
              </w:rPr>
            </w:pPr>
            <w:r w:rsidRPr="00D872D1">
              <w:rPr>
                <w:rFonts w:cs="Arial"/>
                <w:sz w:val="18"/>
                <w:szCs w:val="18"/>
              </w:rPr>
              <w:t>Mitigation measures</w:t>
            </w:r>
          </w:p>
        </w:tc>
        <w:tc>
          <w:tcPr>
            <w:tcW w:w="1363" w:type="dxa"/>
            <w:shd w:val="clear" w:color="auto" w:fill="B8CCE4"/>
          </w:tcPr>
          <w:p w14:paraId="72625A25" w14:textId="77777777" w:rsidR="00E81F81" w:rsidRPr="00D872D1" w:rsidRDefault="00E81F81" w:rsidP="001263B2">
            <w:pPr>
              <w:widowControl w:val="0"/>
              <w:rPr>
                <w:rFonts w:cs="Arial"/>
                <w:sz w:val="18"/>
                <w:szCs w:val="18"/>
              </w:rPr>
            </w:pPr>
            <w:r w:rsidRPr="00D872D1">
              <w:rPr>
                <w:rFonts w:cs="Arial"/>
                <w:sz w:val="18"/>
                <w:szCs w:val="18"/>
              </w:rPr>
              <w:t>Owner</w:t>
            </w:r>
          </w:p>
        </w:tc>
      </w:tr>
      <w:tr w:rsidR="00A820BB" w:rsidRPr="00D872D1" w14:paraId="010D449D" w14:textId="77777777" w:rsidTr="00D872D1">
        <w:trPr>
          <w:cantSplit/>
        </w:trPr>
        <w:tc>
          <w:tcPr>
            <w:tcW w:w="1440" w:type="dxa"/>
          </w:tcPr>
          <w:p w14:paraId="4259FE42" w14:textId="77777777" w:rsidR="00E81F81" w:rsidRPr="00D872D1" w:rsidRDefault="005661AB" w:rsidP="00E81F81">
            <w:pPr>
              <w:widowControl w:val="0"/>
              <w:spacing w:after="0"/>
              <w:rPr>
                <w:rFonts w:cs="Arial"/>
                <w:sz w:val="18"/>
                <w:szCs w:val="18"/>
              </w:rPr>
            </w:pPr>
            <w:r w:rsidRPr="00D872D1">
              <w:rPr>
                <w:rFonts w:cs="Arial"/>
                <w:b/>
                <w:bCs/>
                <w:iCs/>
                <w:sz w:val="18"/>
                <w:szCs w:val="18"/>
              </w:rPr>
              <w:t>Political</w:t>
            </w:r>
          </w:p>
        </w:tc>
        <w:tc>
          <w:tcPr>
            <w:tcW w:w="1980" w:type="dxa"/>
          </w:tcPr>
          <w:p w14:paraId="117C0864" w14:textId="77777777" w:rsidR="00E81F81" w:rsidRPr="00D872D1" w:rsidRDefault="005661AB" w:rsidP="00E81F81">
            <w:pPr>
              <w:widowControl w:val="0"/>
              <w:tabs>
                <w:tab w:val="left" w:pos="57"/>
                <w:tab w:val="left" w:pos="252"/>
              </w:tabs>
              <w:spacing w:after="0"/>
              <w:jc w:val="left"/>
              <w:rPr>
                <w:rFonts w:cs="Arial"/>
                <w:sz w:val="18"/>
                <w:szCs w:val="18"/>
              </w:rPr>
            </w:pPr>
            <w:r w:rsidRPr="00D872D1">
              <w:rPr>
                <w:rFonts w:cs="Arial"/>
                <w:sz w:val="18"/>
                <w:szCs w:val="18"/>
              </w:rPr>
              <w:t xml:space="preserve">Political instability and </w:t>
            </w:r>
            <w:r w:rsidR="00034AF4" w:rsidRPr="00D872D1">
              <w:rPr>
                <w:rFonts w:cs="Arial"/>
                <w:sz w:val="18"/>
                <w:szCs w:val="18"/>
              </w:rPr>
              <w:t>unpredictable</w:t>
            </w:r>
            <w:r w:rsidR="00E81F81" w:rsidRPr="00D872D1">
              <w:rPr>
                <w:rFonts w:cs="Arial"/>
                <w:sz w:val="18"/>
                <w:szCs w:val="18"/>
              </w:rPr>
              <w:t xml:space="preserve"> </w:t>
            </w:r>
            <w:r w:rsidR="00CA3EC0">
              <w:rPr>
                <w:rFonts w:cs="Arial"/>
                <w:sz w:val="18"/>
                <w:szCs w:val="18"/>
              </w:rPr>
              <w:t xml:space="preserve">community </w:t>
            </w:r>
            <w:r w:rsidR="00E81F81" w:rsidRPr="00D872D1">
              <w:rPr>
                <w:rFonts w:cs="Arial"/>
                <w:sz w:val="18"/>
                <w:szCs w:val="18"/>
              </w:rPr>
              <w:t>secur</w:t>
            </w:r>
            <w:r w:rsidRPr="00D872D1">
              <w:rPr>
                <w:rFonts w:cs="Arial"/>
                <w:sz w:val="18"/>
                <w:szCs w:val="18"/>
              </w:rPr>
              <w:t>ity situation within the Kingdom will delay the progress of project activities</w:t>
            </w:r>
          </w:p>
          <w:p w14:paraId="5E5A92B5" w14:textId="77777777" w:rsidR="00E81F81" w:rsidRPr="00D872D1" w:rsidRDefault="00E81F81" w:rsidP="00E81F81">
            <w:pPr>
              <w:widowControl w:val="0"/>
              <w:spacing w:after="0"/>
              <w:jc w:val="left"/>
              <w:rPr>
                <w:rFonts w:cs="Arial"/>
                <w:sz w:val="18"/>
                <w:szCs w:val="18"/>
              </w:rPr>
            </w:pPr>
          </w:p>
        </w:tc>
        <w:tc>
          <w:tcPr>
            <w:tcW w:w="1260" w:type="dxa"/>
          </w:tcPr>
          <w:p w14:paraId="53BB144D" w14:textId="77777777" w:rsidR="00E81F81" w:rsidRPr="00D872D1" w:rsidRDefault="005661AB" w:rsidP="00E81F81">
            <w:pPr>
              <w:widowControl w:val="0"/>
              <w:tabs>
                <w:tab w:val="left" w:pos="57"/>
              </w:tabs>
              <w:spacing w:after="0"/>
              <w:rPr>
                <w:rFonts w:cs="Arial"/>
                <w:b/>
                <w:sz w:val="18"/>
                <w:szCs w:val="18"/>
              </w:rPr>
            </w:pPr>
            <w:r w:rsidRPr="00D872D1">
              <w:rPr>
                <w:rFonts w:cs="Arial"/>
                <w:b/>
                <w:sz w:val="18"/>
                <w:szCs w:val="18"/>
              </w:rPr>
              <w:t xml:space="preserve">P </w:t>
            </w:r>
            <w:r w:rsidR="00E81F81" w:rsidRPr="00D872D1">
              <w:rPr>
                <w:rFonts w:cs="Arial"/>
                <w:b/>
                <w:sz w:val="18"/>
                <w:szCs w:val="18"/>
              </w:rPr>
              <w:t>2</w:t>
            </w:r>
          </w:p>
          <w:p w14:paraId="4B06B30D" w14:textId="77777777" w:rsidR="00E81F81" w:rsidRPr="00D872D1" w:rsidRDefault="00E81F81" w:rsidP="00E81F81">
            <w:pPr>
              <w:widowControl w:val="0"/>
              <w:spacing w:after="0"/>
              <w:rPr>
                <w:rFonts w:cs="Arial"/>
                <w:sz w:val="18"/>
                <w:szCs w:val="18"/>
              </w:rPr>
            </w:pPr>
            <w:r w:rsidRPr="00D872D1">
              <w:rPr>
                <w:rFonts w:cs="Arial"/>
                <w:b/>
                <w:sz w:val="18"/>
                <w:szCs w:val="18"/>
              </w:rPr>
              <w:t>I 4</w:t>
            </w:r>
          </w:p>
        </w:tc>
        <w:tc>
          <w:tcPr>
            <w:tcW w:w="3870" w:type="dxa"/>
          </w:tcPr>
          <w:p w14:paraId="5B0FD4D6" w14:textId="77777777" w:rsidR="002E3DD1" w:rsidRPr="00D872D1" w:rsidRDefault="00E81F81" w:rsidP="002E3DD1">
            <w:pPr>
              <w:widowControl w:val="0"/>
              <w:numPr>
                <w:ilvl w:val="0"/>
                <w:numId w:val="22"/>
              </w:numPr>
              <w:tabs>
                <w:tab w:val="left" w:pos="57"/>
                <w:tab w:val="left" w:pos="252"/>
                <w:tab w:val="left" w:pos="720"/>
              </w:tabs>
              <w:spacing w:after="0"/>
              <w:ind w:left="259" w:hanging="259"/>
              <w:rPr>
                <w:rFonts w:cs="Arial"/>
                <w:sz w:val="18"/>
                <w:szCs w:val="18"/>
              </w:rPr>
            </w:pPr>
            <w:r w:rsidRPr="00D872D1">
              <w:rPr>
                <w:rFonts w:cs="Arial"/>
                <w:sz w:val="18"/>
                <w:szCs w:val="18"/>
              </w:rPr>
              <w:t xml:space="preserve">Continuous monitoring </w:t>
            </w:r>
            <w:r w:rsidR="005661AB" w:rsidRPr="00D872D1">
              <w:rPr>
                <w:rFonts w:cs="Arial"/>
                <w:sz w:val="18"/>
                <w:szCs w:val="18"/>
              </w:rPr>
              <w:t>and follow</w:t>
            </w:r>
            <w:r w:rsidR="00A820BB" w:rsidRPr="00D872D1">
              <w:rPr>
                <w:rFonts w:cs="Arial"/>
                <w:sz w:val="18"/>
                <w:szCs w:val="18"/>
              </w:rPr>
              <w:t>ing</w:t>
            </w:r>
            <w:r w:rsidR="005661AB" w:rsidRPr="00D872D1">
              <w:rPr>
                <w:rFonts w:cs="Arial"/>
                <w:sz w:val="18"/>
                <w:szCs w:val="18"/>
              </w:rPr>
              <w:t xml:space="preserve"> up of the security situation</w:t>
            </w:r>
          </w:p>
          <w:p w14:paraId="0964EACA" w14:textId="77777777" w:rsidR="002E3DD1" w:rsidRPr="00D872D1" w:rsidRDefault="005661AB" w:rsidP="002E3DD1">
            <w:pPr>
              <w:widowControl w:val="0"/>
              <w:numPr>
                <w:ilvl w:val="0"/>
                <w:numId w:val="22"/>
              </w:numPr>
              <w:tabs>
                <w:tab w:val="left" w:pos="57"/>
                <w:tab w:val="left" w:pos="252"/>
                <w:tab w:val="left" w:pos="720"/>
              </w:tabs>
              <w:spacing w:after="0"/>
              <w:ind w:left="259" w:hanging="259"/>
              <w:rPr>
                <w:rFonts w:cs="Arial"/>
                <w:sz w:val="18"/>
                <w:szCs w:val="18"/>
              </w:rPr>
            </w:pPr>
            <w:r w:rsidRPr="00D872D1">
              <w:rPr>
                <w:rFonts w:cs="Arial"/>
                <w:sz w:val="18"/>
                <w:szCs w:val="18"/>
              </w:rPr>
              <w:t xml:space="preserve">Close collaboration with UNDSS and the Government’s security institutions in case the risk of security concerns </w:t>
            </w:r>
            <w:r w:rsidR="00787B78" w:rsidRPr="00D872D1">
              <w:rPr>
                <w:rFonts w:cs="Arial"/>
                <w:sz w:val="18"/>
                <w:szCs w:val="18"/>
              </w:rPr>
              <w:t>is increased</w:t>
            </w:r>
          </w:p>
          <w:p w14:paraId="7F900113" w14:textId="77777777" w:rsidR="00E81F81" w:rsidRPr="00D872D1" w:rsidRDefault="00787B78" w:rsidP="002E3DD1">
            <w:pPr>
              <w:widowControl w:val="0"/>
              <w:numPr>
                <w:ilvl w:val="0"/>
                <w:numId w:val="22"/>
              </w:numPr>
              <w:tabs>
                <w:tab w:val="left" w:pos="57"/>
                <w:tab w:val="left" w:pos="252"/>
                <w:tab w:val="left" w:pos="720"/>
              </w:tabs>
              <w:spacing w:after="0"/>
              <w:ind w:left="259" w:hanging="259"/>
              <w:rPr>
                <w:rFonts w:cs="Arial"/>
                <w:sz w:val="18"/>
                <w:szCs w:val="18"/>
              </w:rPr>
            </w:pPr>
            <w:r w:rsidRPr="00D872D1">
              <w:rPr>
                <w:rFonts w:cs="Arial"/>
                <w:sz w:val="18"/>
                <w:szCs w:val="18"/>
              </w:rPr>
              <w:t>In case the security situation is worsened, the target areas will be changed to ensure the progress of project activities in a safer location.</w:t>
            </w:r>
          </w:p>
        </w:tc>
        <w:tc>
          <w:tcPr>
            <w:tcW w:w="1363" w:type="dxa"/>
          </w:tcPr>
          <w:p w14:paraId="528630DC" w14:textId="77777777" w:rsidR="00E81F81" w:rsidRPr="00D872D1" w:rsidRDefault="005661AB" w:rsidP="00E81F81">
            <w:pPr>
              <w:widowControl w:val="0"/>
              <w:spacing w:after="0"/>
              <w:rPr>
                <w:rFonts w:cs="Arial"/>
                <w:sz w:val="18"/>
                <w:szCs w:val="18"/>
              </w:rPr>
            </w:pPr>
            <w:r w:rsidRPr="00D872D1">
              <w:rPr>
                <w:rFonts w:cs="Arial"/>
                <w:sz w:val="18"/>
                <w:szCs w:val="18"/>
              </w:rPr>
              <w:t>UNDP</w:t>
            </w:r>
          </w:p>
        </w:tc>
      </w:tr>
      <w:tr w:rsidR="00A820BB" w:rsidRPr="00D872D1" w14:paraId="345D46E1" w14:textId="77777777" w:rsidTr="00D872D1">
        <w:trPr>
          <w:cantSplit/>
        </w:trPr>
        <w:tc>
          <w:tcPr>
            <w:tcW w:w="1440" w:type="dxa"/>
          </w:tcPr>
          <w:p w14:paraId="750DE298" w14:textId="77777777" w:rsidR="00E81F81" w:rsidRPr="00D872D1" w:rsidRDefault="001C759B" w:rsidP="00E81F81">
            <w:pPr>
              <w:widowControl w:val="0"/>
              <w:spacing w:after="0"/>
              <w:rPr>
                <w:rFonts w:cs="Arial"/>
                <w:b/>
                <w:bCs/>
                <w:sz w:val="18"/>
                <w:szCs w:val="18"/>
              </w:rPr>
            </w:pPr>
            <w:r w:rsidRPr="00D872D1">
              <w:rPr>
                <w:rFonts w:cs="Arial"/>
                <w:b/>
                <w:bCs/>
                <w:sz w:val="18"/>
                <w:szCs w:val="18"/>
              </w:rPr>
              <w:t>Political</w:t>
            </w:r>
          </w:p>
        </w:tc>
        <w:tc>
          <w:tcPr>
            <w:tcW w:w="1980" w:type="dxa"/>
          </w:tcPr>
          <w:p w14:paraId="30BADDD4" w14:textId="77777777" w:rsidR="00E81F81" w:rsidRPr="00D872D1" w:rsidRDefault="008736D6" w:rsidP="00E81F81">
            <w:pPr>
              <w:widowControl w:val="0"/>
              <w:spacing w:after="0"/>
              <w:jc w:val="left"/>
              <w:rPr>
                <w:rFonts w:cs="Arial"/>
                <w:sz w:val="18"/>
                <w:szCs w:val="18"/>
              </w:rPr>
            </w:pPr>
            <w:r w:rsidRPr="00D872D1">
              <w:rPr>
                <w:rFonts w:cs="Arial"/>
                <w:sz w:val="18"/>
                <w:szCs w:val="18"/>
              </w:rPr>
              <w:t>Lack of trust between the government</w:t>
            </w:r>
            <w:r w:rsidR="00B352CA">
              <w:rPr>
                <w:rFonts w:cs="Arial"/>
                <w:sz w:val="18"/>
                <w:szCs w:val="18"/>
              </w:rPr>
              <w:t xml:space="preserve"> offices </w:t>
            </w:r>
            <w:r w:rsidRPr="00D872D1">
              <w:rPr>
                <w:rFonts w:cs="Arial"/>
                <w:sz w:val="18"/>
                <w:szCs w:val="18"/>
              </w:rPr>
              <w:t>and empowered civil society</w:t>
            </w:r>
          </w:p>
        </w:tc>
        <w:tc>
          <w:tcPr>
            <w:tcW w:w="1260" w:type="dxa"/>
          </w:tcPr>
          <w:p w14:paraId="0BDCCFBB" w14:textId="77777777" w:rsidR="00E81F81" w:rsidRPr="00D872D1" w:rsidRDefault="00E81F81" w:rsidP="00E81F81">
            <w:pPr>
              <w:widowControl w:val="0"/>
              <w:tabs>
                <w:tab w:val="left" w:pos="57"/>
              </w:tabs>
              <w:spacing w:after="0"/>
              <w:rPr>
                <w:rFonts w:cs="Arial"/>
                <w:b/>
                <w:sz w:val="18"/>
                <w:szCs w:val="18"/>
              </w:rPr>
            </w:pPr>
            <w:r w:rsidRPr="00D872D1">
              <w:rPr>
                <w:rFonts w:cs="Arial"/>
                <w:b/>
                <w:sz w:val="18"/>
                <w:szCs w:val="18"/>
              </w:rPr>
              <w:t>P 2</w:t>
            </w:r>
          </w:p>
          <w:p w14:paraId="3119F7E0" w14:textId="77777777" w:rsidR="00E81F81" w:rsidRPr="00D872D1" w:rsidRDefault="00E81F81" w:rsidP="00E81F81">
            <w:pPr>
              <w:widowControl w:val="0"/>
              <w:spacing w:after="0"/>
              <w:rPr>
                <w:rFonts w:cs="Arial"/>
                <w:sz w:val="18"/>
                <w:szCs w:val="18"/>
              </w:rPr>
            </w:pPr>
            <w:r w:rsidRPr="00D872D1">
              <w:rPr>
                <w:rFonts w:cs="Arial"/>
                <w:b/>
                <w:sz w:val="18"/>
                <w:szCs w:val="18"/>
              </w:rPr>
              <w:t>I 3</w:t>
            </w:r>
          </w:p>
        </w:tc>
        <w:tc>
          <w:tcPr>
            <w:tcW w:w="3870" w:type="dxa"/>
          </w:tcPr>
          <w:p w14:paraId="4C471607" w14:textId="77777777" w:rsidR="00053AEB" w:rsidRPr="00D872D1" w:rsidRDefault="00053AEB" w:rsidP="00053AEB">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Organizing meeting opportunities to discuss the objectives of the projects and possible collaboration</w:t>
            </w:r>
            <w:r w:rsidR="00B352CA">
              <w:rPr>
                <w:rFonts w:cs="Arial"/>
                <w:sz w:val="18"/>
                <w:szCs w:val="18"/>
              </w:rPr>
              <w:t>, particularly for community policing and Jordan Prevention Platform</w:t>
            </w:r>
          </w:p>
          <w:p w14:paraId="5E24F996" w14:textId="77777777" w:rsidR="00E81F81" w:rsidRPr="00D872D1" w:rsidRDefault="00053AEB" w:rsidP="00053AEB">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Building trust through having o</w:t>
            </w:r>
            <w:r w:rsidR="00E81F81" w:rsidRPr="00D872D1">
              <w:rPr>
                <w:rFonts w:cs="Arial"/>
                <w:sz w:val="18"/>
                <w:szCs w:val="18"/>
              </w:rPr>
              <w:t>n</w:t>
            </w:r>
            <w:r w:rsidRPr="00D872D1">
              <w:rPr>
                <w:rFonts w:cs="Arial"/>
                <w:sz w:val="18"/>
                <w:szCs w:val="18"/>
              </w:rPr>
              <w:t>going dialogue between the government and civil society</w:t>
            </w:r>
          </w:p>
        </w:tc>
        <w:tc>
          <w:tcPr>
            <w:tcW w:w="1363" w:type="dxa"/>
          </w:tcPr>
          <w:p w14:paraId="4B87D0AC" w14:textId="77777777" w:rsidR="00E81F81" w:rsidRPr="00D872D1" w:rsidRDefault="00053AEB" w:rsidP="0006349F">
            <w:pPr>
              <w:widowControl w:val="0"/>
              <w:tabs>
                <w:tab w:val="left" w:pos="57"/>
                <w:tab w:val="left" w:pos="252"/>
              </w:tabs>
              <w:spacing w:after="0"/>
              <w:rPr>
                <w:rFonts w:cs="Arial"/>
                <w:sz w:val="18"/>
                <w:szCs w:val="18"/>
              </w:rPr>
            </w:pPr>
            <w:r w:rsidRPr="00D872D1">
              <w:rPr>
                <w:rFonts w:cs="Arial"/>
                <w:sz w:val="18"/>
                <w:szCs w:val="18"/>
              </w:rPr>
              <w:t xml:space="preserve">UNDP, Government, and </w:t>
            </w:r>
            <w:r w:rsidR="00402655" w:rsidRPr="00D872D1">
              <w:rPr>
                <w:rFonts w:cs="Arial"/>
                <w:sz w:val="18"/>
                <w:szCs w:val="18"/>
              </w:rPr>
              <w:t>civil society</w:t>
            </w:r>
          </w:p>
        </w:tc>
      </w:tr>
      <w:tr w:rsidR="00D872D1" w:rsidRPr="00D872D1" w14:paraId="2AAEC1CF" w14:textId="77777777" w:rsidTr="00D872D1">
        <w:trPr>
          <w:cantSplit/>
        </w:trPr>
        <w:tc>
          <w:tcPr>
            <w:tcW w:w="1440" w:type="dxa"/>
          </w:tcPr>
          <w:p w14:paraId="7974EAE5" w14:textId="77777777" w:rsidR="00D872D1" w:rsidRPr="00D872D1" w:rsidRDefault="00D872D1" w:rsidP="00D872D1">
            <w:pPr>
              <w:widowControl w:val="0"/>
              <w:spacing w:after="0"/>
              <w:rPr>
                <w:rFonts w:cs="Arial"/>
                <w:b/>
                <w:bCs/>
                <w:sz w:val="18"/>
                <w:szCs w:val="18"/>
              </w:rPr>
            </w:pPr>
            <w:r w:rsidRPr="00D872D1">
              <w:rPr>
                <w:rFonts w:cs="Arial"/>
                <w:b/>
                <w:bCs/>
                <w:sz w:val="18"/>
                <w:szCs w:val="18"/>
              </w:rPr>
              <w:t>Economic</w:t>
            </w:r>
          </w:p>
        </w:tc>
        <w:tc>
          <w:tcPr>
            <w:tcW w:w="1980" w:type="dxa"/>
          </w:tcPr>
          <w:p w14:paraId="15644622" w14:textId="77777777" w:rsidR="00D872D1" w:rsidRPr="00D872D1" w:rsidRDefault="00D77E54" w:rsidP="00D872D1">
            <w:pPr>
              <w:widowControl w:val="0"/>
              <w:tabs>
                <w:tab w:val="left" w:pos="57"/>
                <w:tab w:val="left" w:pos="252"/>
              </w:tabs>
              <w:spacing w:after="0"/>
              <w:jc w:val="left"/>
              <w:rPr>
                <w:rFonts w:cs="Arial"/>
                <w:sz w:val="18"/>
                <w:szCs w:val="18"/>
              </w:rPr>
            </w:pPr>
            <w:r>
              <w:rPr>
                <w:rFonts w:cs="Arial"/>
                <w:sz w:val="18"/>
                <w:szCs w:val="18"/>
              </w:rPr>
              <w:t>Current</w:t>
            </w:r>
            <w:r w:rsidR="00D872D1" w:rsidRPr="00D872D1">
              <w:rPr>
                <w:rFonts w:cs="Arial"/>
                <w:sz w:val="18"/>
                <w:szCs w:val="18"/>
              </w:rPr>
              <w:t xml:space="preserve"> economic challenges put pressure on creating new job opportunities in the labour market</w:t>
            </w:r>
          </w:p>
        </w:tc>
        <w:tc>
          <w:tcPr>
            <w:tcW w:w="1260" w:type="dxa"/>
          </w:tcPr>
          <w:p w14:paraId="42E35267" w14:textId="77777777" w:rsidR="00D872D1" w:rsidRPr="00BB0091" w:rsidRDefault="00D872D1" w:rsidP="00D872D1">
            <w:pPr>
              <w:widowControl w:val="0"/>
              <w:tabs>
                <w:tab w:val="left" w:pos="57"/>
                <w:tab w:val="left" w:pos="252"/>
              </w:tabs>
              <w:spacing w:after="0"/>
              <w:rPr>
                <w:rFonts w:cs="Arial"/>
                <w:b/>
                <w:bCs/>
                <w:sz w:val="18"/>
                <w:szCs w:val="18"/>
              </w:rPr>
            </w:pPr>
            <w:r w:rsidRPr="00BB0091">
              <w:rPr>
                <w:rFonts w:cs="Arial"/>
                <w:b/>
                <w:bCs/>
                <w:sz w:val="18"/>
                <w:szCs w:val="18"/>
              </w:rPr>
              <w:t>P 3</w:t>
            </w:r>
          </w:p>
          <w:p w14:paraId="25DD2145" w14:textId="77777777" w:rsidR="00D872D1" w:rsidRPr="00D872D1" w:rsidRDefault="00D872D1" w:rsidP="00D872D1">
            <w:pPr>
              <w:widowControl w:val="0"/>
              <w:tabs>
                <w:tab w:val="left" w:pos="57"/>
                <w:tab w:val="left" w:pos="252"/>
              </w:tabs>
              <w:spacing w:after="0"/>
              <w:rPr>
                <w:rFonts w:cs="Arial"/>
                <w:sz w:val="18"/>
                <w:szCs w:val="18"/>
              </w:rPr>
            </w:pPr>
            <w:r w:rsidRPr="00BB0091">
              <w:rPr>
                <w:rFonts w:cs="Arial"/>
                <w:b/>
                <w:bCs/>
                <w:sz w:val="18"/>
                <w:szCs w:val="18"/>
              </w:rPr>
              <w:t>I 4</w:t>
            </w:r>
          </w:p>
        </w:tc>
        <w:tc>
          <w:tcPr>
            <w:tcW w:w="3870" w:type="dxa"/>
          </w:tcPr>
          <w:p w14:paraId="2F522477" w14:textId="77777777" w:rsidR="00D872D1" w:rsidRPr="00D872D1" w:rsidRDefault="00D872D1" w:rsidP="00D872D1">
            <w:pPr>
              <w:widowControl w:val="0"/>
              <w:numPr>
                <w:ilvl w:val="0"/>
                <w:numId w:val="22"/>
              </w:numPr>
              <w:tabs>
                <w:tab w:val="clear" w:pos="720"/>
                <w:tab w:val="left" w:pos="57"/>
                <w:tab w:val="left" w:pos="252"/>
              </w:tabs>
              <w:spacing w:after="0"/>
              <w:ind w:left="259" w:hanging="259"/>
              <w:rPr>
                <w:rFonts w:cs="Arial"/>
                <w:sz w:val="18"/>
                <w:szCs w:val="18"/>
              </w:rPr>
            </w:pPr>
            <w:r w:rsidRPr="00D872D1">
              <w:rPr>
                <w:rFonts w:cs="Arial"/>
                <w:sz w:val="18"/>
                <w:szCs w:val="18"/>
              </w:rPr>
              <w:t>Economic and business barometers will be used regularly to focus on economic sectors with potential growth as well as hiring potential and growth projections.</w:t>
            </w:r>
          </w:p>
        </w:tc>
        <w:tc>
          <w:tcPr>
            <w:tcW w:w="1363" w:type="dxa"/>
          </w:tcPr>
          <w:p w14:paraId="7D4DBF3F" w14:textId="77777777" w:rsidR="00D872D1" w:rsidRPr="00D872D1" w:rsidRDefault="00D872D1" w:rsidP="00D872D1">
            <w:pPr>
              <w:widowControl w:val="0"/>
              <w:tabs>
                <w:tab w:val="left" w:pos="57"/>
                <w:tab w:val="left" w:pos="252"/>
              </w:tabs>
              <w:spacing w:after="0"/>
              <w:rPr>
                <w:rFonts w:cs="Arial"/>
                <w:sz w:val="18"/>
                <w:szCs w:val="18"/>
              </w:rPr>
            </w:pPr>
            <w:r w:rsidRPr="00D872D1">
              <w:rPr>
                <w:rFonts w:cs="Arial"/>
                <w:sz w:val="18"/>
                <w:szCs w:val="18"/>
              </w:rPr>
              <w:t>UNDP and implementing partners</w:t>
            </w:r>
          </w:p>
        </w:tc>
      </w:tr>
      <w:tr w:rsidR="003629F2" w:rsidRPr="00D872D1" w14:paraId="08461C88" w14:textId="77777777" w:rsidTr="00D872D1">
        <w:trPr>
          <w:cantSplit/>
        </w:trPr>
        <w:tc>
          <w:tcPr>
            <w:tcW w:w="1440" w:type="dxa"/>
          </w:tcPr>
          <w:p w14:paraId="0D4DE7A9" w14:textId="77777777" w:rsidR="003629F2" w:rsidRPr="00D872D1" w:rsidRDefault="003629F2" w:rsidP="00D872D1">
            <w:pPr>
              <w:widowControl w:val="0"/>
              <w:spacing w:after="0"/>
              <w:rPr>
                <w:rFonts w:cs="Arial"/>
                <w:b/>
                <w:bCs/>
                <w:sz w:val="18"/>
                <w:szCs w:val="18"/>
              </w:rPr>
            </w:pPr>
            <w:r>
              <w:rPr>
                <w:rFonts w:cs="Arial"/>
                <w:b/>
                <w:bCs/>
                <w:sz w:val="18"/>
                <w:szCs w:val="18"/>
              </w:rPr>
              <w:t>Socio-economic</w:t>
            </w:r>
          </w:p>
        </w:tc>
        <w:tc>
          <w:tcPr>
            <w:tcW w:w="1980" w:type="dxa"/>
          </w:tcPr>
          <w:p w14:paraId="00BD007C" w14:textId="77777777" w:rsidR="003629F2" w:rsidRDefault="003629F2" w:rsidP="00D872D1">
            <w:pPr>
              <w:widowControl w:val="0"/>
              <w:tabs>
                <w:tab w:val="left" w:pos="57"/>
                <w:tab w:val="left" w:pos="252"/>
              </w:tabs>
              <w:spacing w:after="0"/>
              <w:jc w:val="left"/>
              <w:rPr>
                <w:rFonts w:cs="Arial"/>
                <w:sz w:val="18"/>
                <w:szCs w:val="18"/>
              </w:rPr>
            </w:pPr>
            <w:r>
              <w:rPr>
                <w:rFonts w:cs="Arial"/>
                <w:sz w:val="18"/>
                <w:szCs w:val="18"/>
              </w:rPr>
              <w:t>COVID-19 crisis and global pandemic further affects the socio-economic livelihoods of people in Jordan and causes delays in some activities</w:t>
            </w:r>
          </w:p>
        </w:tc>
        <w:tc>
          <w:tcPr>
            <w:tcW w:w="1260" w:type="dxa"/>
          </w:tcPr>
          <w:p w14:paraId="6DC85076" w14:textId="77777777" w:rsidR="003629F2" w:rsidRDefault="003629F2" w:rsidP="00D872D1">
            <w:pPr>
              <w:widowControl w:val="0"/>
              <w:tabs>
                <w:tab w:val="left" w:pos="57"/>
                <w:tab w:val="left" w:pos="252"/>
              </w:tabs>
              <w:spacing w:after="0"/>
              <w:rPr>
                <w:rFonts w:cs="Arial"/>
                <w:b/>
                <w:bCs/>
                <w:sz w:val="18"/>
                <w:szCs w:val="18"/>
              </w:rPr>
            </w:pPr>
            <w:r>
              <w:rPr>
                <w:rFonts w:cs="Arial"/>
                <w:b/>
                <w:bCs/>
                <w:sz w:val="18"/>
                <w:szCs w:val="18"/>
              </w:rPr>
              <w:t>P 4</w:t>
            </w:r>
          </w:p>
          <w:p w14:paraId="38C3C0A5" w14:textId="77777777" w:rsidR="003629F2" w:rsidRPr="00BB0091" w:rsidRDefault="003629F2" w:rsidP="00D872D1">
            <w:pPr>
              <w:widowControl w:val="0"/>
              <w:tabs>
                <w:tab w:val="left" w:pos="57"/>
                <w:tab w:val="left" w:pos="252"/>
              </w:tabs>
              <w:spacing w:after="0"/>
              <w:rPr>
                <w:rFonts w:cs="Arial"/>
                <w:b/>
                <w:bCs/>
                <w:sz w:val="18"/>
                <w:szCs w:val="18"/>
              </w:rPr>
            </w:pPr>
            <w:r>
              <w:rPr>
                <w:rFonts w:cs="Arial"/>
                <w:b/>
                <w:bCs/>
                <w:sz w:val="18"/>
                <w:szCs w:val="18"/>
              </w:rPr>
              <w:t>I 4</w:t>
            </w:r>
          </w:p>
        </w:tc>
        <w:tc>
          <w:tcPr>
            <w:tcW w:w="3870" w:type="dxa"/>
          </w:tcPr>
          <w:p w14:paraId="48C25009" w14:textId="77777777" w:rsidR="003629F2" w:rsidRDefault="003629F2" w:rsidP="00D872D1">
            <w:pPr>
              <w:widowControl w:val="0"/>
              <w:numPr>
                <w:ilvl w:val="0"/>
                <w:numId w:val="22"/>
              </w:numPr>
              <w:tabs>
                <w:tab w:val="clear" w:pos="720"/>
                <w:tab w:val="left" w:pos="57"/>
                <w:tab w:val="left" w:pos="252"/>
              </w:tabs>
              <w:spacing w:after="0"/>
              <w:ind w:left="259" w:hanging="259"/>
              <w:rPr>
                <w:rFonts w:cs="Arial"/>
                <w:sz w:val="18"/>
                <w:szCs w:val="18"/>
              </w:rPr>
            </w:pPr>
            <w:r>
              <w:rPr>
                <w:rFonts w:cs="Arial"/>
                <w:sz w:val="18"/>
                <w:szCs w:val="18"/>
              </w:rPr>
              <w:t>Continuous monitoring and following up of the current situation related to COVID-19 crisis and pandemic in the Kingdom</w:t>
            </w:r>
          </w:p>
          <w:p w14:paraId="618537CB" w14:textId="77777777" w:rsidR="003629F2" w:rsidRDefault="003629F2" w:rsidP="00D872D1">
            <w:pPr>
              <w:widowControl w:val="0"/>
              <w:numPr>
                <w:ilvl w:val="0"/>
                <w:numId w:val="22"/>
              </w:numPr>
              <w:tabs>
                <w:tab w:val="clear" w:pos="720"/>
                <w:tab w:val="left" w:pos="57"/>
                <w:tab w:val="left" w:pos="252"/>
              </w:tabs>
              <w:spacing w:after="0"/>
              <w:ind w:left="259" w:hanging="259"/>
              <w:rPr>
                <w:rFonts w:cs="Arial"/>
                <w:sz w:val="18"/>
                <w:szCs w:val="18"/>
              </w:rPr>
            </w:pPr>
            <w:r>
              <w:rPr>
                <w:rFonts w:cs="Arial"/>
                <w:sz w:val="18"/>
                <w:szCs w:val="18"/>
              </w:rPr>
              <w:t>Close collaboration with relevant UN agencies and government offices to monitor and trend of the COVID-19 pandemic in Jordan</w:t>
            </w:r>
          </w:p>
          <w:p w14:paraId="4EBA4E5F" w14:textId="77777777" w:rsidR="003629F2" w:rsidRPr="00D872D1" w:rsidRDefault="003629F2" w:rsidP="00D872D1">
            <w:pPr>
              <w:widowControl w:val="0"/>
              <w:numPr>
                <w:ilvl w:val="0"/>
                <w:numId w:val="22"/>
              </w:numPr>
              <w:tabs>
                <w:tab w:val="clear" w:pos="720"/>
                <w:tab w:val="left" w:pos="57"/>
                <w:tab w:val="left" w:pos="252"/>
              </w:tabs>
              <w:spacing w:after="0"/>
              <w:ind w:left="259" w:hanging="259"/>
              <w:rPr>
                <w:rFonts w:cs="Arial"/>
                <w:sz w:val="18"/>
                <w:szCs w:val="18"/>
              </w:rPr>
            </w:pPr>
            <w:r w:rsidRPr="00D872D1">
              <w:rPr>
                <w:rFonts w:cs="Arial"/>
                <w:sz w:val="18"/>
                <w:szCs w:val="18"/>
              </w:rPr>
              <w:t>Providing incentives to participate in project activities/interventions (other than financial ones)</w:t>
            </w:r>
          </w:p>
        </w:tc>
        <w:tc>
          <w:tcPr>
            <w:tcW w:w="1363" w:type="dxa"/>
          </w:tcPr>
          <w:p w14:paraId="5C5D745E" w14:textId="77777777" w:rsidR="003629F2" w:rsidRPr="00D872D1" w:rsidRDefault="003629F2" w:rsidP="00D872D1">
            <w:pPr>
              <w:widowControl w:val="0"/>
              <w:tabs>
                <w:tab w:val="left" w:pos="57"/>
                <w:tab w:val="left" w:pos="252"/>
              </w:tabs>
              <w:spacing w:after="0"/>
              <w:rPr>
                <w:rFonts w:cs="Arial"/>
                <w:sz w:val="18"/>
                <w:szCs w:val="18"/>
              </w:rPr>
            </w:pPr>
            <w:r>
              <w:rPr>
                <w:rFonts w:cs="Arial"/>
                <w:sz w:val="18"/>
                <w:szCs w:val="18"/>
              </w:rPr>
              <w:t>UNDP</w:t>
            </w:r>
          </w:p>
        </w:tc>
      </w:tr>
      <w:tr w:rsidR="00D872D1" w:rsidRPr="00D872D1" w14:paraId="7470474E" w14:textId="77777777" w:rsidTr="00D872D1">
        <w:trPr>
          <w:cantSplit/>
        </w:trPr>
        <w:tc>
          <w:tcPr>
            <w:tcW w:w="1440" w:type="dxa"/>
          </w:tcPr>
          <w:p w14:paraId="04C153D8" w14:textId="77777777" w:rsidR="00D872D1" w:rsidRPr="00D872D1" w:rsidRDefault="00D872D1" w:rsidP="00D872D1">
            <w:pPr>
              <w:widowControl w:val="0"/>
              <w:spacing w:after="0"/>
              <w:rPr>
                <w:rFonts w:cs="Arial"/>
                <w:b/>
                <w:bCs/>
                <w:sz w:val="18"/>
                <w:szCs w:val="18"/>
              </w:rPr>
            </w:pPr>
            <w:r w:rsidRPr="00D872D1">
              <w:rPr>
                <w:rFonts w:cs="Arial"/>
                <w:b/>
                <w:bCs/>
                <w:sz w:val="18"/>
                <w:szCs w:val="18"/>
              </w:rPr>
              <w:t>Operational</w:t>
            </w:r>
          </w:p>
        </w:tc>
        <w:tc>
          <w:tcPr>
            <w:tcW w:w="1980" w:type="dxa"/>
          </w:tcPr>
          <w:p w14:paraId="07BA2F0F" w14:textId="438006EA" w:rsidR="00D872D1" w:rsidRPr="00D872D1" w:rsidRDefault="00D872D1" w:rsidP="00D872D1">
            <w:pPr>
              <w:widowControl w:val="0"/>
              <w:tabs>
                <w:tab w:val="left" w:pos="290"/>
              </w:tabs>
              <w:spacing w:after="0"/>
              <w:jc w:val="left"/>
              <w:rPr>
                <w:rFonts w:cs="Arial"/>
                <w:sz w:val="18"/>
                <w:szCs w:val="18"/>
              </w:rPr>
            </w:pPr>
            <w:r w:rsidRPr="00D872D1">
              <w:rPr>
                <w:rFonts w:cs="Arial"/>
                <w:sz w:val="18"/>
                <w:szCs w:val="18"/>
              </w:rPr>
              <w:t xml:space="preserve">Low engagement of civil society and communities </w:t>
            </w:r>
            <w:r w:rsidR="00FB5C29">
              <w:rPr>
                <w:rFonts w:cs="Arial"/>
                <w:sz w:val="18"/>
                <w:szCs w:val="18"/>
              </w:rPr>
              <w:t xml:space="preserve">as well as relevant government offices </w:t>
            </w:r>
            <w:r w:rsidRPr="00D872D1">
              <w:rPr>
                <w:rFonts w:cs="Arial"/>
                <w:sz w:val="18"/>
                <w:szCs w:val="18"/>
              </w:rPr>
              <w:t>in project activities (participation in community initiatives)</w:t>
            </w:r>
          </w:p>
        </w:tc>
        <w:tc>
          <w:tcPr>
            <w:tcW w:w="1260" w:type="dxa"/>
          </w:tcPr>
          <w:p w14:paraId="0CABFEA9" w14:textId="77777777" w:rsidR="00D872D1" w:rsidRPr="00D872D1" w:rsidRDefault="00D872D1" w:rsidP="00D872D1">
            <w:pPr>
              <w:widowControl w:val="0"/>
              <w:tabs>
                <w:tab w:val="left" w:pos="57"/>
              </w:tabs>
              <w:spacing w:after="0"/>
              <w:rPr>
                <w:rFonts w:cs="Arial"/>
                <w:b/>
                <w:sz w:val="18"/>
                <w:szCs w:val="18"/>
              </w:rPr>
            </w:pPr>
            <w:r w:rsidRPr="00D872D1">
              <w:rPr>
                <w:rFonts w:cs="Arial"/>
                <w:b/>
                <w:sz w:val="18"/>
                <w:szCs w:val="18"/>
              </w:rPr>
              <w:t>P 2</w:t>
            </w:r>
          </w:p>
          <w:p w14:paraId="3D555351" w14:textId="77777777" w:rsidR="00D872D1" w:rsidRPr="00D872D1" w:rsidRDefault="00D872D1" w:rsidP="00D872D1">
            <w:pPr>
              <w:widowControl w:val="0"/>
              <w:tabs>
                <w:tab w:val="left" w:pos="57"/>
              </w:tabs>
              <w:spacing w:after="0"/>
              <w:rPr>
                <w:rFonts w:cs="Arial"/>
                <w:b/>
                <w:sz w:val="18"/>
                <w:szCs w:val="18"/>
              </w:rPr>
            </w:pPr>
            <w:r w:rsidRPr="00D872D1">
              <w:rPr>
                <w:rFonts w:cs="Arial"/>
                <w:b/>
                <w:sz w:val="18"/>
                <w:szCs w:val="18"/>
              </w:rPr>
              <w:t>I 3</w:t>
            </w:r>
          </w:p>
        </w:tc>
        <w:tc>
          <w:tcPr>
            <w:tcW w:w="3870" w:type="dxa"/>
          </w:tcPr>
          <w:p w14:paraId="0D6A0D91" w14:textId="77777777" w:rsidR="00D872D1" w:rsidRPr="00D872D1" w:rsidRDefault="00D872D1" w:rsidP="00D872D1">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Raising awareness and undertaking visibility exercise on UNDP’s interventions</w:t>
            </w:r>
          </w:p>
          <w:p w14:paraId="38971D90" w14:textId="77777777" w:rsidR="00D872D1" w:rsidRPr="00D872D1" w:rsidRDefault="00D872D1" w:rsidP="00D872D1">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Participatory approach and engaging potential beneficiaries from the beginning of the project implementation</w:t>
            </w:r>
          </w:p>
          <w:p w14:paraId="1855E565" w14:textId="77777777" w:rsidR="00D872D1" w:rsidRPr="00D872D1" w:rsidRDefault="00D872D1" w:rsidP="00D872D1">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Building stronger partnerships and trust between UNDP and potential beneficiaries</w:t>
            </w:r>
          </w:p>
          <w:p w14:paraId="324E237E" w14:textId="77777777" w:rsidR="00D872D1" w:rsidRPr="00D872D1" w:rsidRDefault="00D872D1" w:rsidP="00D872D1">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Providing incentives to participate in project activities/interventions (other than financial ones)</w:t>
            </w:r>
          </w:p>
        </w:tc>
        <w:tc>
          <w:tcPr>
            <w:tcW w:w="1363" w:type="dxa"/>
          </w:tcPr>
          <w:p w14:paraId="7AB45D68" w14:textId="77777777" w:rsidR="00D872D1" w:rsidRPr="00D872D1" w:rsidRDefault="00D872D1" w:rsidP="00D872D1">
            <w:pPr>
              <w:widowControl w:val="0"/>
              <w:tabs>
                <w:tab w:val="left" w:pos="57"/>
                <w:tab w:val="left" w:pos="252"/>
              </w:tabs>
              <w:spacing w:after="0"/>
              <w:rPr>
                <w:rFonts w:cs="Arial"/>
                <w:sz w:val="18"/>
                <w:szCs w:val="18"/>
              </w:rPr>
            </w:pPr>
            <w:r w:rsidRPr="00D872D1">
              <w:rPr>
                <w:rFonts w:cs="Arial"/>
                <w:sz w:val="18"/>
                <w:szCs w:val="18"/>
              </w:rPr>
              <w:t>Civil society and communities</w:t>
            </w:r>
          </w:p>
        </w:tc>
      </w:tr>
      <w:tr w:rsidR="00D872D1" w:rsidRPr="00BC015E" w14:paraId="0A994B71" w14:textId="77777777" w:rsidTr="00D872D1">
        <w:tc>
          <w:tcPr>
            <w:tcW w:w="1440" w:type="dxa"/>
            <w:tcBorders>
              <w:top w:val="single" w:sz="4" w:space="0" w:color="auto"/>
              <w:left w:val="single" w:sz="4" w:space="0" w:color="auto"/>
              <w:bottom w:val="single" w:sz="4" w:space="0" w:color="auto"/>
              <w:right w:val="single" w:sz="4" w:space="0" w:color="auto"/>
            </w:tcBorders>
          </w:tcPr>
          <w:p w14:paraId="126C642A" w14:textId="77777777" w:rsidR="00D872D1" w:rsidRPr="00D872D1" w:rsidRDefault="00D872D1" w:rsidP="00931EF9">
            <w:pPr>
              <w:widowControl w:val="0"/>
              <w:spacing w:after="0"/>
              <w:rPr>
                <w:rFonts w:cs="Arial"/>
                <w:b/>
                <w:bCs/>
                <w:sz w:val="18"/>
                <w:szCs w:val="18"/>
              </w:rPr>
            </w:pPr>
            <w:r w:rsidRPr="00D872D1">
              <w:rPr>
                <w:rFonts w:cs="Arial"/>
                <w:b/>
                <w:bCs/>
                <w:sz w:val="18"/>
                <w:szCs w:val="18"/>
              </w:rPr>
              <w:t xml:space="preserve">Operational </w:t>
            </w:r>
          </w:p>
        </w:tc>
        <w:tc>
          <w:tcPr>
            <w:tcW w:w="1980" w:type="dxa"/>
            <w:tcBorders>
              <w:top w:val="single" w:sz="4" w:space="0" w:color="auto"/>
              <w:left w:val="single" w:sz="4" w:space="0" w:color="auto"/>
              <w:bottom w:val="single" w:sz="4" w:space="0" w:color="auto"/>
              <w:right w:val="single" w:sz="4" w:space="0" w:color="auto"/>
            </w:tcBorders>
          </w:tcPr>
          <w:p w14:paraId="634B573A" w14:textId="77777777" w:rsidR="00D872D1" w:rsidRPr="00D872D1" w:rsidRDefault="00D872D1" w:rsidP="00931EF9">
            <w:pPr>
              <w:widowControl w:val="0"/>
              <w:tabs>
                <w:tab w:val="left" w:pos="290"/>
              </w:tabs>
              <w:spacing w:after="0"/>
              <w:jc w:val="left"/>
              <w:rPr>
                <w:rFonts w:cs="Arial"/>
                <w:sz w:val="18"/>
                <w:szCs w:val="18"/>
              </w:rPr>
            </w:pPr>
            <w:r w:rsidRPr="00D872D1">
              <w:rPr>
                <w:rFonts w:cs="Arial"/>
                <w:sz w:val="18"/>
                <w:szCs w:val="18"/>
              </w:rPr>
              <w:t>Ineffective involvement of stakeholders in the project implementation.</w:t>
            </w:r>
          </w:p>
        </w:tc>
        <w:tc>
          <w:tcPr>
            <w:tcW w:w="1260" w:type="dxa"/>
            <w:tcBorders>
              <w:top w:val="single" w:sz="4" w:space="0" w:color="auto"/>
              <w:left w:val="single" w:sz="4" w:space="0" w:color="auto"/>
              <w:bottom w:val="single" w:sz="4" w:space="0" w:color="auto"/>
              <w:right w:val="single" w:sz="4" w:space="0" w:color="auto"/>
            </w:tcBorders>
          </w:tcPr>
          <w:p w14:paraId="5C5E4035" w14:textId="77777777" w:rsidR="00D872D1" w:rsidRPr="00D872D1" w:rsidRDefault="00D872D1" w:rsidP="00931EF9">
            <w:pPr>
              <w:widowControl w:val="0"/>
              <w:tabs>
                <w:tab w:val="left" w:pos="57"/>
              </w:tabs>
              <w:spacing w:after="0"/>
              <w:rPr>
                <w:rFonts w:cs="Arial"/>
                <w:b/>
                <w:sz w:val="18"/>
                <w:szCs w:val="18"/>
              </w:rPr>
            </w:pPr>
            <w:r w:rsidRPr="00D872D1">
              <w:rPr>
                <w:rFonts w:cs="Arial"/>
                <w:b/>
                <w:sz w:val="18"/>
                <w:szCs w:val="18"/>
              </w:rPr>
              <w:t>P 2</w:t>
            </w:r>
          </w:p>
          <w:p w14:paraId="26D21FED" w14:textId="77777777" w:rsidR="00D872D1" w:rsidRPr="00D872D1" w:rsidRDefault="00D872D1" w:rsidP="00931EF9">
            <w:pPr>
              <w:widowControl w:val="0"/>
              <w:tabs>
                <w:tab w:val="left" w:pos="57"/>
              </w:tabs>
              <w:spacing w:after="0"/>
              <w:rPr>
                <w:rFonts w:cs="Arial"/>
                <w:b/>
                <w:sz w:val="18"/>
                <w:szCs w:val="18"/>
              </w:rPr>
            </w:pPr>
            <w:r w:rsidRPr="00D872D1">
              <w:rPr>
                <w:rFonts w:cs="Arial"/>
                <w:b/>
                <w:sz w:val="18"/>
                <w:szCs w:val="18"/>
              </w:rPr>
              <w:t>I 3</w:t>
            </w:r>
          </w:p>
        </w:tc>
        <w:tc>
          <w:tcPr>
            <w:tcW w:w="3870" w:type="dxa"/>
            <w:tcBorders>
              <w:top w:val="single" w:sz="4" w:space="0" w:color="auto"/>
              <w:left w:val="single" w:sz="4" w:space="0" w:color="auto"/>
              <w:bottom w:val="single" w:sz="4" w:space="0" w:color="auto"/>
              <w:right w:val="single" w:sz="4" w:space="0" w:color="auto"/>
            </w:tcBorders>
          </w:tcPr>
          <w:p w14:paraId="661F8570" w14:textId="77777777" w:rsidR="00D872D1" w:rsidRPr="00D872D1" w:rsidRDefault="00D872D1" w:rsidP="00931EF9">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Roles and responsibilities of stakeholders and partner will be clearly defined at every stage of project design and implementation. The private sector, including employers, will be involved in designing the programmes to ensure that the project will meet the skills that employers require.  </w:t>
            </w:r>
          </w:p>
        </w:tc>
        <w:tc>
          <w:tcPr>
            <w:tcW w:w="1363" w:type="dxa"/>
            <w:tcBorders>
              <w:top w:val="single" w:sz="4" w:space="0" w:color="auto"/>
              <w:left w:val="single" w:sz="4" w:space="0" w:color="auto"/>
              <w:bottom w:val="single" w:sz="4" w:space="0" w:color="auto"/>
              <w:right w:val="single" w:sz="4" w:space="0" w:color="auto"/>
            </w:tcBorders>
          </w:tcPr>
          <w:p w14:paraId="624EF852" w14:textId="77777777" w:rsidR="00D872D1" w:rsidRPr="00D872D1" w:rsidRDefault="00D872D1" w:rsidP="00931EF9">
            <w:pPr>
              <w:widowControl w:val="0"/>
              <w:tabs>
                <w:tab w:val="left" w:pos="57"/>
                <w:tab w:val="left" w:pos="252"/>
              </w:tabs>
              <w:spacing w:after="0"/>
              <w:rPr>
                <w:rFonts w:cs="Arial"/>
                <w:sz w:val="18"/>
                <w:szCs w:val="18"/>
              </w:rPr>
            </w:pPr>
            <w:r w:rsidRPr="00D872D1">
              <w:rPr>
                <w:rFonts w:cs="Arial"/>
                <w:sz w:val="18"/>
                <w:szCs w:val="18"/>
              </w:rPr>
              <w:t>UNDP and partners</w:t>
            </w:r>
          </w:p>
        </w:tc>
      </w:tr>
      <w:tr w:rsidR="00D872D1" w14:paraId="79544762" w14:textId="77777777" w:rsidTr="00D872D1">
        <w:tc>
          <w:tcPr>
            <w:tcW w:w="1440" w:type="dxa"/>
            <w:tcBorders>
              <w:top w:val="single" w:sz="4" w:space="0" w:color="auto"/>
              <w:left w:val="single" w:sz="4" w:space="0" w:color="auto"/>
              <w:bottom w:val="single" w:sz="4" w:space="0" w:color="auto"/>
              <w:right w:val="single" w:sz="4" w:space="0" w:color="auto"/>
            </w:tcBorders>
          </w:tcPr>
          <w:p w14:paraId="35EFE5E0" w14:textId="77777777" w:rsidR="00D872D1" w:rsidRPr="00D872D1" w:rsidRDefault="00D872D1" w:rsidP="00931EF9">
            <w:pPr>
              <w:widowControl w:val="0"/>
              <w:spacing w:after="0"/>
              <w:rPr>
                <w:rFonts w:cs="Arial"/>
                <w:b/>
                <w:bCs/>
                <w:sz w:val="18"/>
                <w:szCs w:val="18"/>
              </w:rPr>
            </w:pPr>
            <w:r w:rsidRPr="00D872D1">
              <w:rPr>
                <w:rFonts w:cs="Arial"/>
                <w:b/>
                <w:bCs/>
                <w:sz w:val="18"/>
                <w:szCs w:val="18"/>
              </w:rPr>
              <w:t xml:space="preserve">Operational </w:t>
            </w:r>
          </w:p>
        </w:tc>
        <w:tc>
          <w:tcPr>
            <w:tcW w:w="1980" w:type="dxa"/>
            <w:tcBorders>
              <w:top w:val="single" w:sz="4" w:space="0" w:color="auto"/>
              <w:left w:val="single" w:sz="4" w:space="0" w:color="auto"/>
              <w:bottom w:val="single" w:sz="4" w:space="0" w:color="auto"/>
              <w:right w:val="single" w:sz="4" w:space="0" w:color="auto"/>
            </w:tcBorders>
          </w:tcPr>
          <w:p w14:paraId="4F528237" w14:textId="77777777" w:rsidR="00D872D1" w:rsidRPr="00D872D1" w:rsidRDefault="00D872D1" w:rsidP="00931EF9">
            <w:pPr>
              <w:widowControl w:val="0"/>
              <w:tabs>
                <w:tab w:val="left" w:pos="290"/>
              </w:tabs>
              <w:spacing w:after="0"/>
              <w:jc w:val="left"/>
              <w:rPr>
                <w:rFonts w:cs="Arial"/>
                <w:sz w:val="18"/>
                <w:szCs w:val="18"/>
              </w:rPr>
            </w:pPr>
            <w:r w:rsidRPr="00D872D1">
              <w:rPr>
                <w:rFonts w:cs="Arial"/>
                <w:sz w:val="18"/>
                <w:szCs w:val="18"/>
              </w:rPr>
              <w:t>Challenges to sustainability of the project</w:t>
            </w:r>
          </w:p>
        </w:tc>
        <w:tc>
          <w:tcPr>
            <w:tcW w:w="1260" w:type="dxa"/>
            <w:tcBorders>
              <w:top w:val="single" w:sz="4" w:space="0" w:color="auto"/>
              <w:left w:val="single" w:sz="4" w:space="0" w:color="auto"/>
              <w:bottom w:val="single" w:sz="4" w:space="0" w:color="auto"/>
              <w:right w:val="single" w:sz="4" w:space="0" w:color="auto"/>
            </w:tcBorders>
          </w:tcPr>
          <w:p w14:paraId="2B5A4888" w14:textId="77777777" w:rsidR="00D872D1" w:rsidRPr="00D872D1" w:rsidRDefault="00D872D1" w:rsidP="00931EF9">
            <w:pPr>
              <w:widowControl w:val="0"/>
              <w:tabs>
                <w:tab w:val="left" w:pos="57"/>
              </w:tabs>
              <w:spacing w:after="0"/>
              <w:rPr>
                <w:rFonts w:cs="Arial"/>
                <w:b/>
                <w:sz w:val="18"/>
                <w:szCs w:val="18"/>
              </w:rPr>
            </w:pPr>
            <w:r w:rsidRPr="00D872D1">
              <w:rPr>
                <w:rFonts w:cs="Arial"/>
                <w:b/>
                <w:sz w:val="18"/>
                <w:szCs w:val="18"/>
              </w:rPr>
              <w:t>P 2</w:t>
            </w:r>
          </w:p>
          <w:p w14:paraId="419D46FF" w14:textId="77777777" w:rsidR="00D872D1" w:rsidRPr="00D872D1" w:rsidRDefault="00D872D1" w:rsidP="00931EF9">
            <w:pPr>
              <w:widowControl w:val="0"/>
              <w:tabs>
                <w:tab w:val="left" w:pos="57"/>
              </w:tabs>
              <w:spacing w:after="0"/>
              <w:rPr>
                <w:rFonts w:cs="Arial"/>
                <w:b/>
                <w:sz w:val="18"/>
                <w:szCs w:val="18"/>
              </w:rPr>
            </w:pPr>
            <w:r w:rsidRPr="00D872D1">
              <w:rPr>
                <w:rFonts w:cs="Arial"/>
                <w:b/>
                <w:sz w:val="18"/>
                <w:szCs w:val="18"/>
              </w:rPr>
              <w:t>I 3</w:t>
            </w:r>
          </w:p>
        </w:tc>
        <w:tc>
          <w:tcPr>
            <w:tcW w:w="3870" w:type="dxa"/>
            <w:tcBorders>
              <w:top w:val="single" w:sz="4" w:space="0" w:color="auto"/>
              <w:left w:val="single" w:sz="4" w:space="0" w:color="auto"/>
              <w:bottom w:val="single" w:sz="4" w:space="0" w:color="auto"/>
              <w:right w:val="single" w:sz="4" w:space="0" w:color="auto"/>
            </w:tcBorders>
          </w:tcPr>
          <w:p w14:paraId="49B98A50" w14:textId="77777777" w:rsidR="00D872D1" w:rsidRPr="00D872D1" w:rsidRDefault="00D872D1" w:rsidP="00931EF9">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The project will develop a Sustainability Plan within the first six months. Follow-up activities will be conducted by UNDP in close coordination and engagement of relevant direct stakeholders and partners</w:t>
            </w:r>
          </w:p>
        </w:tc>
        <w:tc>
          <w:tcPr>
            <w:tcW w:w="1363" w:type="dxa"/>
            <w:tcBorders>
              <w:top w:val="single" w:sz="4" w:space="0" w:color="auto"/>
              <w:left w:val="single" w:sz="4" w:space="0" w:color="auto"/>
              <w:bottom w:val="single" w:sz="4" w:space="0" w:color="auto"/>
              <w:right w:val="single" w:sz="4" w:space="0" w:color="auto"/>
            </w:tcBorders>
          </w:tcPr>
          <w:p w14:paraId="6DFC0B8E" w14:textId="77777777" w:rsidR="00D872D1" w:rsidRPr="00D872D1" w:rsidRDefault="00D872D1" w:rsidP="00931EF9">
            <w:pPr>
              <w:widowControl w:val="0"/>
              <w:tabs>
                <w:tab w:val="left" w:pos="57"/>
                <w:tab w:val="left" w:pos="252"/>
              </w:tabs>
              <w:spacing w:after="0"/>
              <w:rPr>
                <w:rFonts w:cs="Arial"/>
                <w:sz w:val="18"/>
                <w:szCs w:val="18"/>
              </w:rPr>
            </w:pPr>
            <w:r w:rsidRPr="00D872D1">
              <w:rPr>
                <w:rFonts w:cs="Arial"/>
                <w:sz w:val="18"/>
                <w:szCs w:val="18"/>
              </w:rPr>
              <w:t>UNDP and implementing partners</w:t>
            </w:r>
          </w:p>
        </w:tc>
      </w:tr>
      <w:tr w:rsidR="00163838" w:rsidRPr="00D872D1" w14:paraId="37912EC9" w14:textId="77777777" w:rsidTr="00D872D1">
        <w:tc>
          <w:tcPr>
            <w:tcW w:w="1440" w:type="dxa"/>
          </w:tcPr>
          <w:p w14:paraId="1DD77A03" w14:textId="6202A64F" w:rsidR="00163838" w:rsidRPr="00D872D1" w:rsidRDefault="00163838" w:rsidP="00163838">
            <w:pPr>
              <w:widowControl w:val="0"/>
              <w:spacing w:after="0"/>
              <w:rPr>
                <w:rFonts w:cs="Arial"/>
                <w:b/>
                <w:bCs/>
                <w:sz w:val="18"/>
                <w:szCs w:val="18"/>
              </w:rPr>
            </w:pPr>
            <w:r>
              <w:rPr>
                <w:rFonts w:cs="Arial"/>
                <w:b/>
                <w:bCs/>
                <w:sz w:val="18"/>
                <w:szCs w:val="18"/>
              </w:rPr>
              <w:t>Operational</w:t>
            </w:r>
          </w:p>
        </w:tc>
        <w:tc>
          <w:tcPr>
            <w:tcW w:w="1980" w:type="dxa"/>
          </w:tcPr>
          <w:p w14:paraId="6E7097CF" w14:textId="1AB320A2" w:rsidR="00163838" w:rsidRPr="00D872D1" w:rsidRDefault="00163838" w:rsidP="00163838">
            <w:pPr>
              <w:widowControl w:val="0"/>
              <w:tabs>
                <w:tab w:val="left" w:pos="290"/>
              </w:tabs>
              <w:spacing w:after="0"/>
              <w:jc w:val="left"/>
              <w:rPr>
                <w:rFonts w:cs="Arial"/>
                <w:sz w:val="18"/>
                <w:szCs w:val="18"/>
              </w:rPr>
            </w:pPr>
            <w:r>
              <w:rPr>
                <w:rFonts w:cs="Arial"/>
                <w:sz w:val="18"/>
                <w:szCs w:val="18"/>
              </w:rPr>
              <w:t xml:space="preserve">Sexual exploitation </w:t>
            </w:r>
            <w:r>
              <w:rPr>
                <w:rFonts w:cs="Arial"/>
                <w:sz w:val="18"/>
                <w:szCs w:val="18"/>
              </w:rPr>
              <w:lastRenderedPageBreak/>
              <w:t xml:space="preserve">and abuse </w:t>
            </w:r>
          </w:p>
        </w:tc>
        <w:tc>
          <w:tcPr>
            <w:tcW w:w="1260" w:type="dxa"/>
          </w:tcPr>
          <w:p w14:paraId="707CCE6B" w14:textId="64F7AAF6" w:rsidR="00163838" w:rsidRPr="00D872D1" w:rsidRDefault="00163838" w:rsidP="00163838">
            <w:pPr>
              <w:widowControl w:val="0"/>
              <w:tabs>
                <w:tab w:val="left" w:pos="57"/>
              </w:tabs>
              <w:spacing w:after="0"/>
              <w:rPr>
                <w:rFonts w:cs="Arial"/>
                <w:b/>
                <w:sz w:val="18"/>
                <w:szCs w:val="18"/>
              </w:rPr>
            </w:pPr>
            <w:r>
              <w:rPr>
                <w:rFonts w:cs="Arial"/>
                <w:b/>
                <w:sz w:val="18"/>
                <w:szCs w:val="18"/>
              </w:rPr>
              <w:lastRenderedPageBreak/>
              <w:t>P2 I5</w:t>
            </w:r>
          </w:p>
        </w:tc>
        <w:tc>
          <w:tcPr>
            <w:tcW w:w="3870" w:type="dxa"/>
          </w:tcPr>
          <w:p w14:paraId="7F07C033" w14:textId="0C667D7B" w:rsidR="00163838" w:rsidRPr="00D872D1" w:rsidRDefault="00163838" w:rsidP="00163838">
            <w:pPr>
              <w:widowControl w:val="0"/>
              <w:numPr>
                <w:ilvl w:val="0"/>
                <w:numId w:val="22"/>
              </w:numPr>
              <w:tabs>
                <w:tab w:val="left" w:pos="234"/>
              </w:tabs>
              <w:spacing w:after="0"/>
              <w:ind w:left="259" w:hanging="259"/>
              <w:rPr>
                <w:rFonts w:cs="Arial"/>
                <w:sz w:val="18"/>
                <w:szCs w:val="18"/>
              </w:rPr>
            </w:pPr>
            <w:r w:rsidRPr="006F75DC">
              <w:rPr>
                <w:rFonts w:ascii="Helvetica" w:hAnsi="Helvetica"/>
                <w:sz w:val="16"/>
                <w:szCs w:val="16"/>
              </w:rPr>
              <w:t xml:space="preserve">All partners that will work directly with vulnerable </w:t>
            </w:r>
            <w:r w:rsidRPr="006F75DC">
              <w:rPr>
                <w:rFonts w:ascii="Helvetica" w:hAnsi="Helvetica"/>
                <w:sz w:val="16"/>
                <w:szCs w:val="16"/>
              </w:rPr>
              <w:lastRenderedPageBreak/>
              <w:t>beneficiaries will be required to have procedures and processes in place to effectively prevent and deal with allegations of SEA.</w:t>
            </w:r>
          </w:p>
        </w:tc>
        <w:tc>
          <w:tcPr>
            <w:tcW w:w="1363" w:type="dxa"/>
          </w:tcPr>
          <w:p w14:paraId="676562EE" w14:textId="52E8908E" w:rsidR="00163838" w:rsidRPr="00D872D1" w:rsidRDefault="00163838" w:rsidP="00163838">
            <w:pPr>
              <w:widowControl w:val="0"/>
              <w:tabs>
                <w:tab w:val="left" w:pos="57"/>
                <w:tab w:val="left" w:pos="252"/>
              </w:tabs>
              <w:spacing w:after="0"/>
              <w:rPr>
                <w:rFonts w:cs="Arial"/>
                <w:sz w:val="18"/>
                <w:szCs w:val="18"/>
              </w:rPr>
            </w:pPr>
            <w:r>
              <w:rPr>
                <w:rFonts w:cs="Arial"/>
                <w:sz w:val="18"/>
                <w:szCs w:val="18"/>
              </w:rPr>
              <w:lastRenderedPageBreak/>
              <w:t>UNDP</w:t>
            </w:r>
          </w:p>
        </w:tc>
      </w:tr>
      <w:tr w:rsidR="00163838" w:rsidRPr="00D872D1" w14:paraId="730B54EC" w14:textId="77777777" w:rsidTr="00D872D1">
        <w:tc>
          <w:tcPr>
            <w:tcW w:w="1440" w:type="dxa"/>
          </w:tcPr>
          <w:p w14:paraId="31438419" w14:textId="77777777" w:rsidR="00163838" w:rsidRPr="00D872D1" w:rsidRDefault="00163838" w:rsidP="00163838">
            <w:pPr>
              <w:widowControl w:val="0"/>
              <w:spacing w:after="0"/>
              <w:rPr>
                <w:rFonts w:cs="Arial"/>
                <w:b/>
                <w:bCs/>
                <w:sz w:val="18"/>
                <w:szCs w:val="18"/>
              </w:rPr>
            </w:pPr>
            <w:r w:rsidRPr="00D872D1">
              <w:rPr>
                <w:rFonts w:cs="Arial"/>
                <w:b/>
                <w:bCs/>
                <w:sz w:val="18"/>
                <w:szCs w:val="18"/>
              </w:rPr>
              <w:t>Environment</w:t>
            </w:r>
          </w:p>
        </w:tc>
        <w:tc>
          <w:tcPr>
            <w:tcW w:w="1980" w:type="dxa"/>
          </w:tcPr>
          <w:p w14:paraId="062F728D" w14:textId="77777777" w:rsidR="00163838" w:rsidRPr="00D872D1" w:rsidRDefault="00163838" w:rsidP="00163838">
            <w:pPr>
              <w:widowControl w:val="0"/>
              <w:tabs>
                <w:tab w:val="left" w:pos="290"/>
              </w:tabs>
              <w:spacing w:after="0"/>
              <w:jc w:val="left"/>
              <w:rPr>
                <w:rFonts w:cs="Arial"/>
                <w:sz w:val="18"/>
                <w:szCs w:val="18"/>
              </w:rPr>
            </w:pPr>
            <w:r w:rsidRPr="00D872D1">
              <w:rPr>
                <w:rFonts w:cs="Arial"/>
                <w:sz w:val="18"/>
                <w:szCs w:val="18"/>
              </w:rPr>
              <w:t xml:space="preserve">Established businesses and </w:t>
            </w:r>
            <w:r>
              <w:rPr>
                <w:rFonts w:cs="Arial"/>
                <w:sz w:val="18"/>
                <w:szCs w:val="18"/>
              </w:rPr>
              <w:t xml:space="preserve">community interventions </w:t>
            </w:r>
            <w:r w:rsidRPr="00D872D1">
              <w:rPr>
                <w:rFonts w:cs="Arial"/>
                <w:sz w:val="18"/>
                <w:szCs w:val="18"/>
              </w:rPr>
              <w:t xml:space="preserve">are not compliant to the environment  </w:t>
            </w:r>
          </w:p>
        </w:tc>
        <w:tc>
          <w:tcPr>
            <w:tcW w:w="1260" w:type="dxa"/>
          </w:tcPr>
          <w:p w14:paraId="654A38ED" w14:textId="77777777" w:rsidR="00163838" w:rsidRPr="00D872D1" w:rsidRDefault="00163838" w:rsidP="00163838">
            <w:pPr>
              <w:widowControl w:val="0"/>
              <w:tabs>
                <w:tab w:val="left" w:pos="57"/>
              </w:tabs>
              <w:spacing w:after="0"/>
              <w:rPr>
                <w:rFonts w:cs="Arial"/>
                <w:b/>
                <w:sz w:val="18"/>
                <w:szCs w:val="18"/>
              </w:rPr>
            </w:pPr>
            <w:r w:rsidRPr="00D872D1">
              <w:rPr>
                <w:rFonts w:cs="Arial"/>
                <w:b/>
                <w:sz w:val="18"/>
                <w:szCs w:val="18"/>
              </w:rPr>
              <w:t>P 2</w:t>
            </w:r>
          </w:p>
          <w:p w14:paraId="6B76D4A8" w14:textId="77777777" w:rsidR="00163838" w:rsidRPr="00D872D1" w:rsidRDefault="00163838" w:rsidP="00163838">
            <w:pPr>
              <w:widowControl w:val="0"/>
              <w:tabs>
                <w:tab w:val="left" w:pos="57"/>
              </w:tabs>
              <w:spacing w:after="0"/>
              <w:rPr>
                <w:rFonts w:cs="Arial"/>
                <w:b/>
                <w:sz w:val="18"/>
                <w:szCs w:val="18"/>
              </w:rPr>
            </w:pPr>
            <w:r w:rsidRPr="00D872D1">
              <w:rPr>
                <w:rFonts w:cs="Arial"/>
                <w:b/>
                <w:sz w:val="18"/>
                <w:szCs w:val="18"/>
              </w:rPr>
              <w:t>I 2</w:t>
            </w:r>
          </w:p>
        </w:tc>
        <w:tc>
          <w:tcPr>
            <w:tcW w:w="3870" w:type="dxa"/>
          </w:tcPr>
          <w:p w14:paraId="48C914D6" w14:textId="77777777" w:rsidR="00163838" w:rsidRPr="00D872D1" w:rsidRDefault="00163838" w:rsidP="00163838">
            <w:pPr>
              <w:widowControl w:val="0"/>
              <w:numPr>
                <w:ilvl w:val="0"/>
                <w:numId w:val="22"/>
              </w:numPr>
              <w:tabs>
                <w:tab w:val="left" w:pos="234"/>
              </w:tabs>
              <w:spacing w:after="0"/>
              <w:ind w:left="259" w:hanging="259"/>
              <w:rPr>
                <w:rFonts w:cs="Arial"/>
                <w:sz w:val="18"/>
                <w:szCs w:val="18"/>
              </w:rPr>
            </w:pPr>
            <w:r w:rsidRPr="00D872D1">
              <w:rPr>
                <w:rFonts w:cs="Arial"/>
                <w:sz w:val="18"/>
                <w:szCs w:val="18"/>
              </w:rPr>
              <w:t>Raising environmental awareness among the participants.</w:t>
            </w:r>
          </w:p>
          <w:p w14:paraId="65312D7B" w14:textId="77777777" w:rsidR="00163838" w:rsidRPr="00D872D1" w:rsidRDefault="00163838" w:rsidP="00163838">
            <w:pPr>
              <w:widowControl w:val="0"/>
              <w:numPr>
                <w:ilvl w:val="0"/>
                <w:numId w:val="22"/>
              </w:numPr>
              <w:tabs>
                <w:tab w:val="left" w:pos="234"/>
              </w:tabs>
              <w:spacing w:after="0"/>
              <w:ind w:left="259" w:hanging="259"/>
              <w:rPr>
                <w:rFonts w:cs="Arial"/>
                <w:sz w:val="18"/>
                <w:szCs w:val="18"/>
              </w:rPr>
            </w:pPr>
            <w:r w:rsidRPr="00D872D1">
              <w:rPr>
                <w:rFonts w:cs="Arial"/>
                <w:sz w:val="18"/>
                <w:szCs w:val="18"/>
              </w:rPr>
              <w:t>Monitoring the rehabilitation process to ensure its compliant to the environment as possible.</w:t>
            </w:r>
          </w:p>
        </w:tc>
        <w:tc>
          <w:tcPr>
            <w:tcW w:w="1363" w:type="dxa"/>
          </w:tcPr>
          <w:p w14:paraId="2AAABC6C" w14:textId="77777777" w:rsidR="00163838" w:rsidRPr="00D872D1" w:rsidRDefault="00163838" w:rsidP="00163838">
            <w:pPr>
              <w:widowControl w:val="0"/>
              <w:tabs>
                <w:tab w:val="left" w:pos="57"/>
                <w:tab w:val="left" w:pos="252"/>
              </w:tabs>
              <w:spacing w:after="0"/>
              <w:rPr>
                <w:rFonts w:cs="Arial"/>
                <w:sz w:val="18"/>
                <w:szCs w:val="18"/>
              </w:rPr>
            </w:pPr>
            <w:r w:rsidRPr="00D872D1">
              <w:rPr>
                <w:rFonts w:cs="Arial"/>
                <w:sz w:val="18"/>
                <w:szCs w:val="18"/>
              </w:rPr>
              <w:t>UNDP and implementing partner</w:t>
            </w:r>
          </w:p>
        </w:tc>
      </w:tr>
      <w:tr w:rsidR="00163838" w14:paraId="7FCB2852" w14:textId="77777777" w:rsidTr="00D872D1">
        <w:tc>
          <w:tcPr>
            <w:tcW w:w="1440" w:type="dxa"/>
          </w:tcPr>
          <w:p w14:paraId="14C5CBD6" w14:textId="77777777" w:rsidR="00163838" w:rsidRPr="00D872D1" w:rsidRDefault="00163838" w:rsidP="00163838">
            <w:pPr>
              <w:rPr>
                <w:rFonts w:cs="Arial"/>
                <w:b/>
                <w:bCs/>
                <w:sz w:val="18"/>
                <w:szCs w:val="18"/>
              </w:rPr>
            </w:pPr>
            <w:r w:rsidRPr="00D872D1">
              <w:rPr>
                <w:rFonts w:cs="Arial"/>
                <w:b/>
                <w:bCs/>
                <w:sz w:val="18"/>
                <w:szCs w:val="18"/>
              </w:rPr>
              <w:t>Strategic</w:t>
            </w:r>
          </w:p>
        </w:tc>
        <w:tc>
          <w:tcPr>
            <w:tcW w:w="1980" w:type="dxa"/>
          </w:tcPr>
          <w:p w14:paraId="03298C04" w14:textId="77777777" w:rsidR="00163838" w:rsidRPr="00D872D1" w:rsidRDefault="00163838" w:rsidP="00163838">
            <w:pPr>
              <w:widowControl w:val="0"/>
              <w:tabs>
                <w:tab w:val="left" w:pos="290"/>
              </w:tabs>
              <w:spacing w:after="0"/>
              <w:jc w:val="left"/>
              <w:rPr>
                <w:rFonts w:cs="Arial"/>
                <w:sz w:val="18"/>
                <w:szCs w:val="18"/>
              </w:rPr>
            </w:pPr>
            <w:r w:rsidRPr="00D872D1">
              <w:rPr>
                <w:rFonts w:cs="Arial"/>
                <w:sz w:val="18"/>
                <w:szCs w:val="18"/>
              </w:rPr>
              <w:t xml:space="preserve">Lack of willingness between </w:t>
            </w:r>
            <w:r>
              <w:rPr>
                <w:rFonts w:cs="Arial"/>
                <w:sz w:val="18"/>
                <w:szCs w:val="18"/>
              </w:rPr>
              <w:t>government offices and international community to cooperate in responding COVID-19 crisis</w:t>
            </w:r>
          </w:p>
        </w:tc>
        <w:tc>
          <w:tcPr>
            <w:tcW w:w="1260" w:type="dxa"/>
          </w:tcPr>
          <w:p w14:paraId="6BED1C90" w14:textId="77777777" w:rsidR="00163838" w:rsidRPr="00D872D1" w:rsidRDefault="00163838" w:rsidP="00163838">
            <w:pPr>
              <w:widowControl w:val="0"/>
              <w:tabs>
                <w:tab w:val="left" w:pos="57"/>
              </w:tabs>
              <w:spacing w:after="0"/>
              <w:rPr>
                <w:rFonts w:cs="Arial"/>
                <w:b/>
                <w:sz w:val="18"/>
                <w:szCs w:val="18"/>
              </w:rPr>
            </w:pPr>
            <w:r w:rsidRPr="00D872D1">
              <w:rPr>
                <w:rFonts w:cs="Arial"/>
                <w:b/>
                <w:sz w:val="18"/>
                <w:szCs w:val="18"/>
              </w:rPr>
              <w:t>P 2</w:t>
            </w:r>
          </w:p>
          <w:p w14:paraId="026DB97A" w14:textId="77777777" w:rsidR="00163838" w:rsidRPr="00D872D1" w:rsidRDefault="00163838" w:rsidP="00163838">
            <w:pPr>
              <w:widowControl w:val="0"/>
              <w:tabs>
                <w:tab w:val="left" w:pos="57"/>
              </w:tabs>
              <w:spacing w:after="0"/>
              <w:rPr>
                <w:rFonts w:cs="Arial"/>
                <w:b/>
                <w:sz w:val="18"/>
                <w:szCs w:val="18"/>
              </w:rPr>
            </w:pPr>
            <w:r w:rsidRPr="00D872D1">
              <w:rPr>
                <w:rFonts w:cs="Arial"/>
                <w:b/>
                <w:sz w:val="18"/>
                <w:szCs w:val="18"/>
              </w:rPr>
              <w:t>I 4</w:t>
            </w:r>
          </w:p>
        </w:tc>
        <w:tc>
          <w:tcPr>
            <w:tcW w:w="3870" w:type="dxa"/>
          </w:tcPr>
          <w:p w14:paraId="46713CC9" w14:textId="77777777" w:rsidR="00163838" w:rsidRPr="00D872D1" w:rsidRDefault="00163838" w:rsidP="00163838">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 xml:space="preserve">Raising awareness of the importance of the </w:t>
            </w:r>
            <w:r>
              <w:rPr>
                <w:rFonts w:cs="Arial"/>
                <w:sz w:val="18"/>
                <w:szCs w:val="18"/>
              </w:rPr>
              <w:t>building forward better approach</w:t>
            </w:r>
          </w:p>
          <w:p w14:paraId="0135BF18" w14:textId="77777777" w:rsidR="00163838" w:rsidRPr="00D872D1" w:rsidRDefault="00163838" w:rsidP="00163838">
            <w:pPr>
              <w:widowControl w:val="0"/>
              <w:numPr>
                <w:ilvl w:val="0"/>
                <w:numId w:val="22"/>
              </w:numPr>
              <w:tabs>
                <w:tab w:val="clear" w:pos="720"/>
                <w:tab w:val="left" w:pos="234"/>
              </w:tabs>
              <w:spacing w:after="0"/>
              <w:ind w:left="259" w:hanging="259"/>
              <w:rPr>
                <w:rFonts w:cs="Arial"/>
                <w:sz w:val="18"/>
                <w:szCs w:val="18"/>
              </w:rPr>
            </w:pPr>
            <w:r w:rsidRPr="00D872D1">
              <w:rPr>
                <w:rFonts w:cs="Arial"/>
                <w:sz w:val="18"/>
                <w:szCs w:val="18"/>
              </w:rPr>
              <w:t>Careful, ongoing dialogue aimed at strengthening partnerships</w:t>
            </w:r>
          </w:p>
        </w:tc>
        <w:tc>
          <w:tcPr>
            <w:tcW w:w="1363" w:type="dxa"/>
          </w:tcPr>
          <w:p w14:paraId="05F0BE8F" w14:textId="77777777" w:rsidR="00163838" w:rsidRPr="001263B2" w:rsidRDefault="00163838" w:rsidP="00163838">
            <w:pPr>
              <w:widowControl w:val="0"/>
              <w:tabs>
                <w:tab w:val="left" w:pos="57"/>
                <w:tab w:val="left" w:pos="252"/>
              </w:tabs>
              <w:spacing w:after="0"/>
              <w:rPr>
                <w:rFonts w:cs="Arial"/>
                <w:sz w:val="18"/>
                <w:szCs w:val="18"/>
              </w:rPr>
            </w:pPr>
            <w:r w:rsidRPr="00D872D1">
              <w:rPr>
                <w:rFonts w:cs="Arial"/>
                <w:sz w:val="18"/>
                <w:szCs w:val="18"/>
              </w:rPr>
              <w:t>International communities</w:t>
            </w:r>
            <w:r>
              <w:rPr>
                <w:rFonts w:cs="Arial"/>
                <w:sz w:val="18"/>
                <w:szCs w:val="18"/>
              </w:rPr>
              <w:t xml:space="preserve"> and government offices</w:t>
            </w:r>
          </w:p>
        </w:tc>
      </w:tr>
    </w:tbl>
    <w:p w14:paraId="2FD6DC37" w14:textId="77777777" w:rsidR="00E81F81" w:rsidRPr="007E50CD" w:rsidRDefault="00E81F81" w:rsidP="00BA29E4">
      <w:pPr>
        <w:rPr>
          <w:iCs/>
        </w:rPr>
      </w:pPr>
    </w:p>
    <w:p w14:paraId="60CAFF52" w14:textId="77777777" w:rsidR="00D72157" w:rsidRPr="00660587" w:rsidRDefault="00D72157" w:rsidP="008C1450">
      <w:pPr>
        <w:spacing w:after="0"/>
        <w:rPr>
          <w:b/>
          <w:i/>
        </w:rPr>
      </w:pPr>
      <w:r w:rsidRPr="00660587">
        <w:rPr>
          <w:b/>
          <w:i/>
        </w:rPr>
        <w:t>Stakeholder Engagement</w:t>
      </w:r>
    </w:p>
    <w:p w14:paraId="66B1E8B8" w14:textId="77777777" w:rsidR="008C1450" w:rsidRPr="00660587" w:rsidRDefault="008C1450" w:rsidP="00BA29E4">
      <w:pPr>
        <w:rPr>
          <w:iCs/>
        </w:rPr>
      </w:pPr>
    </w:p>
    <w:p w14:paraId="5239C551" w14:textId="56E7DABC" w:rsidR="005C5F86" w:rsidRPr="00660587" w:rsidRDefault="008D0C48" w:rsidP="00BA29E4">
      <w:pPr>
        <w:rPr>
          <w:iCs/>
        </w:rPr>
      </w:pPr>
      <w:r w:rsidRPr="00660587">
        <w:rPr>
          <w:iCs/>
        </w:rPr>
        <w:t xml:space="preserve">The project relies on </w:t>
      </w:r>
      <w:r w:rsidR="00F07792" w:rsidRPr="00660587">
        <w:rPr>
          <w:iCs/>
        </w:rPr>
        <w:t>regular</w:t>
      </w:r>
      <w:r w:rsidRPr="00660587">
        <w:rPr>
          <w:iCs/>
        </w:rPr>
        <w:t xml:space="preserve"> consultations and collaborations with key government institutions (i.e. P</w:t>
      </w:r>
      <w:r w:rsidR="00660587" w:rsidRPr="00660587">
        <w:rPr>
          <w:iCs/>
        </w:rPr>
        <w:t>/C</w:t>
      </w:r>
      <w:r w:rsidRPr="00660587">
        <w:rPr>
          <w:iCs/>
        </w:rPr>
        <w:t>VE Unit at the Office of Prime Minister, Ministry of Planning and International Cooperation, Ministry of Culture, Ministry of Youth, Ministry of Municipal Affairs, Ministry of Social Development, etc)</w:t>
      </w:r>
      <w:r w:rsidR="00660587" w:rsidRPr="00660587">
        <w:rPr>
          <w:iCs/>
        </w:rPr>
        <w:t xml:space="preserve">, </w:t>
      </w:r>
      <w:r w:rsidR="00BB4299" w:rsidRPr="00660587">
        <w:rPr>
          <w:iCs/>
        </w:rPr>
        <w:t>civil society</w:t>
      </w:r>
      <w:r w:rsidR="00660587" w:rsidRPr="00660587">
        <w:rPr>
          <w:iCs/>
        </w:rPr>
        <w:t xml:space="preserve"> and local communities</w:t>
      </w:r>
      <w:r w:rsidRPr="00660587">
        <w:rPr>
          <w:iCs/>
        </w:rPr>
        <w:t>. Based on the previous assessments a</w:t>
      </w:r>
      <w:r w:rsidR="00BB4299" w:rsidRPr="00660587">
        <w:rPr>
          <w:iCs/>
        </w:rPr>
        <w:t>nd community engagement, as well as the vulnerable selection criteria developed</w:t>
      </w:r>
      <w:r w:rsidRPr="00660587">
        <w:rPr>
          <w:iCs/>
        </w:rPr>
        <w:t xml:space="preserve">, the target beneficiaries will be identified and selected from </w:t>
      </w:r>
      <w:r w:rsidR="00660587" w:rsidRPr="00660587">
        <w:rPr>
          <w:iCs/>
        </w:rPr>
        <w:t xml:space="preserve">vulnerable youth and marginalized </w:t>
      </w:r>
      <w:r w:rsidRPr="00660587">
        <w:rPr>
          <w:iCs/>
        </w:rPr>
        <w:t xml:space="preserve">residents in </w:t>
      </w:r>
      <w:r w:rsidR="00F07792" w:rsidRPr="00660587">
        <w:rPr>
          <w:iCs/>
        </w:rPr>
        <w:t>urban</w:t>
      </w:r>
      <w:r w:rsidRPr="00660587">
        <w:rPr>
          <w:iCs/>
        </w:rPr>
        <w:t xml:space="preserve"> host communities</w:t>
      </w:r>
      <w:r w:rsidR="00F07792" w:rsidRPr="00660587">
        <w:rPr>
          <w:iCs/>
        </w:rPr>
        <w:t xml:space="preserve"> in Jordan</w:t>
      </w:r>
      <w:r w:rsidRPr="00660587">
        <w:rPr>
          <w:iCs/>
        </w:rPr>
        <w:t xml:space="preserve">. During the project implementation period, UNDP will continue liaising and engaging with relevant </w:t>
      </w:r>
      <w:r w:rsidR="001053F1" w:rsidRPr="00660587">
        <w:rPr>
          <w:iCs/>
        </w:rPr>
        <w:t>government and civil society partners</w:t>
      </w:r>
      <w:r w:rsidRPr="00660587">
        <w:rPr>
          <w:iCs/>
        </w:rPr>
        <w:t xml:space="preserve"> and beneficiaries</w:t>
      </w:r>
      <w:r w:rsidR="00BB4299" w:rsidRPr="00660587">
        <w:rPr>
          <w:iCs/>
        </w:rPr>
        <w:t xml:space="preserve"> </w:t>
      </w:r>
      <w:r w:rsidR="001053F1" w:rsidRPr="00660587">
        <w:rPr>
          <w:iCs/>
        </w:rPr>
        <w:t xml:space="preserve">to monitor and </w:t>
      </w:r>
      <w:r w:rsidR="00BB4299" w:rsidRPr="00660587">
        <w:rPr>
          <w:iCs/>
        </w:rPr>
        <w:t>analyse</w:t>
      </w:r>
      <w:r w:rsidR="001053F1" w:rsidRPr="00660587">
        <w:rPr>
          <w:iCs/>
        </w:rPr>
        <w:t xml:space="preserve"> the impact of the project.</w:t>
      </w:r>
    </w:p>
    <w:p w14:paraId="0D53928A" w14:textId="77777777" w:rsidR="008C1450" w:rsidRPr="00660587" w:rsidRDefault="008C1450" w:rsidP="008C1450">
      <w:pPr>
        <w:spacing w:after="0"/>
        <w:rPr>
          <w:b/>
          <w:i/>
        </w:rPr>
      </w:pPr>
    </w:p>
    <w:p w14:paraId="5A297101" w14:textId="77777777" w:rsidR="00D55D40" w:rsidRPr="00660587" w:rsidRDefault="00D55D40" w:rsidP="008C1450">
      <w:pPr>
        <w:spacing w:after="0"/>
        <w:rPr>
          <w:b/>
        </w:rPr>
      </w:pPr>
      <w:r w:rsidRPr="00660587">
        <w:rPr>
          <w:b/>
          <w:i/>
        </w:rPr>
        <w:t>South-South and Triangular Cooperation (SSC/TrC)</w:t>
      </w:r>
    </w:p>
    <w:p w14:paraId="02E10809" w14:textId="77777777" w:rsidR="008C1450" w:rsidRPr="00660587" w:rsidRDefault="008C1450" w:rsidP="00BA29E4">
      <w:pPr>
        <w:rPr>
          <w:iCs/>
        </w:rPr>
      </w:pPr>
    </w:p>
    <w:p w14:paraId="0DFDFE7D" w14:textId="3FF5E9D5" w:rsidR="001D43C8" w:rsidRPr="00660587" w:rsidRDefault="001D43C8" w:rsidP="00BA29E4">
      <w:pPr>
        <w:rPr>
          <w:iCs/>
          <w:lang w:val="en-US"/>
        </w:rPr>
      </w:pPr>
      <w:r w:rsidRPr="00660587">
        <w:rPr>
          <w:iCs/>
        </w:rPr>
        <w:t>The project intends to draw on international and regional best practices</w:t>
      </w:r>
      <w:r w:rsidR="008446CF" w:rsidRPr="00660587">
        <w:rPr>
          <w:iCs/>
        </w:rPr>
        <w:t xml:space="preserve"> for PVE and human security programme/projects</w:t>
      </w:r>
      <w:r w:rsidR="00660587" w:rsidRPr="00660587">
        <w:rPr>
          <w:iCs/>
        </w:rPr>
        <w:t xml:space="preserve"> and livelihoods interventions</w:t>
      </w:r>
      <w:r w:rsidRPr="00660587">
        <w:rPr>
          <w:iCs/>
        </w:rPr>
        <w:t xml:space="preserve">. For instance, UNDP recognizes </w:t>
      </w:r>
      <w:r w:rsidR="004E7CEA" w:rsidRPr="00660587">
        <w:rPr>
          <w:iCs/>
        </w:rPr>
        <w:t xml:space="preserve">that a few </w:t>
      </w:r>
      <w:r w:rsidRPr="00660587">
        <w:rPr>
          <w:iCs/>
        </w:rPr>
        <w:t xml:space="preserve">successful </w:t>
      </w:r>
      <w:r w:rsidR="00660587" w:rsidRPr="00660587">
        <w:rPr>
          <w:iCs/>
        </w:rPr>
        <w:t>human security</w:t>
      </w:r>
      <w:r w:rsidRPr="00660587">
        <w:rPr>
          <w:iCs/>
        </w:rPr>
        <w:t xml:space="preserve"> programmes/projects</w:t>
      </w:r>
      <w:r w:rsidR="004D54FC" w:rsidRPr="00660587">
        <w:rPr>
          <w:iCs/>
        </w:rPr>
        <w:t xml:space="preserve"> can be found</w:t>
      </w:r>
      <w:r w:rsidRPr="00660587">
        <w:rPr>
          <w:iCs/>
        </w:rPr>
        <w:t xml:space="preserve"> </w:t>
      </w:r>
      <w:r w:rsidR="008446CF" w:rsidRPr="00660587">
        <w:rPr>
          <w:iCs/>
        </w:rPr>
        <w:t>globally</w:t>
      </w:r>
      <w:r w:rsidRPr="00660587">
        <w:rPr>
          <w:iCs/>
        </w:rPr>
        <w:t>,</w:t>
      </w:r>
      <w:r w:rsidR="007C1A17" w:rsidRPr="00660587">
        <w:rPr>
          <w:iCs/>
        </w:rPr>
        <w:t xml:space="preserve"> therefore, UNDP Jordan </w:t>
      </w:r>
      <w:r w:rsidR="008446CF" w:rsidRPr="00660587">
        <w:rPr>
          <w:iCs/>
        </w:rPr>
        <w:t xml:space="preserve">plans to </w:t>
      </w:r>
      <w:r w:rsidR="007C1A17" w:rsidRPr="00660587">
        <w:rPr>
          <w:iCs/>
        </w:rPr>
        <w:t>liaise with relevant UNDP office</w:t>
      </w:r>
      <w:r w:rsidR="008446CF" w:rsidRPr="00660587">
        <w:rPr>
          <w:iCs/>
        </w:rPr>
        <w:t>s</w:t>
      </w:r>
      <w:r w:rsidR="004E7CEA" w:rsidRPr="00660587">
        <w:rPr>
          <w:iCs/>
        </w:rPr>
        <w:t xml:space="preserve"> and UN entities</w:t>
      </w:r>
      <w:r w:rsidR="007C1A17" w:rsidRPr="00660587">
        <w:rPr>
          <w:iCs/>
        </w:rPr>
        <w:t xml:space="preserve"> to learn from their experience</w:t>
      </w:r>
      <w:r w:rsidR="004E7CEA" w:rsidRPr="00660587">
        <w:rPr>
          <w:iCs/>
        </w:rPr>
        <w:t>s and scale up their lessons learned.</w:t>
      </w:r>
    </w:p>
    <w:p w14:paraId="6418C43F" w14:textId="77777777" w:rsidR="008C1450" w:rsidRPr="00660587" w:rsidRDefault="008C1450" w:rsidP="008C1450">
      <w:pPr>
        <w:spacing w:after="0"/>
        <w:rPr>
          <w:b/>
          <w:i/>
        </w:rPr>
      </w:pPr>
    </w:p>
    <w:p w14:paraId="252D96A1" w14:textId="77777777" w:rsidR="008605D1" w:rsidRPr="00660587" w:rsidRDefault="008605D1" w:rsidP="008C1450">
      <w:pPr>
        <w:spacing w:after="0"/>
        <w:rPr>
          <w:b/>
        </w:rPr>
      </w:pPr>
      <w:r w:rsidRPr="00660587">
        <w:rPr>
          <w:b/>
          <w:i/>
        </w:rPr>
        <w:t>Knowledge</w:t>
      </w:r>
    </w:p>
    <w:p w14:paraId="60F86DFC" w14:textId="77777777" w:rsidR="008C1450" w:rsidRPr="00660587" w:rsidRDefault="008C1450" w:rsidP="00BA29E4">
      <w:pPr>
        <w:rPr>
          <w:iCs/>
        </w:rPr>
      </w:pPr>
    </w:p>
    <w:p w14:paraId="35A05209" w14:textId="77777777" w:rsidR="005B43C7" w:rsidRPr="00660587" w:rsidRDefault="00193B92" w:rsidP="00BA29E4">
      <w:pPr>
        <w:rPr>
          <w:iCs/>
        </w:rPr>
      </w:pPr>
      <w:r w:rsidRPr="00660587">
        <w:rPr>
          <w:iCs/>
        </w:rPr>
        <w:t>Building upon the experience and lessons learned</w:t>
      </w:r>
      <w:r w:rsidR="00927A26" w:rsidRPr="00660587">
        <w:rPr>
          <w:iCs/>
        </w:rPr>
        <w:t xml:space="preserve"> from the previous projects implemented by UNDP</w:t>
      </w:r>
      <w:r w:rsidRPr="00660587">
        <w:rPr>
          <w:iCs/>
        </w:rPr>
        <w:t xml:space="preserve">, the project will further develop knowledge products, including newsletter, research, and success stories. During the project implementation period, the resource products for PVE </w:t>
      </w:r>
      <w:r w:rsidR="00927A26" w:rsidRPr="00660587">
        <w:rPr>
          <w:iCs/>
        </w:rPr>
        <w:t xml:space="preserve">and human security </w:t>
      </w:r>
      <w:r w:rsidRPr="00660587">
        <w:rPr>
          <w:iCs/>
        </w:rPr>
        <w:t xml:space="preserve">are envisaged to be shared and fully utilized by relevant actors, such as civil society, government institutions, and international </w:t>
      </w:r>
      <w:r w:rsidR="00927A26" w:rsidRPr="00660587">
        <w:rPr>
          <w:iCs/>
        </w:rPr>
        <w:t>community</w:t>
      </w:r>
      <w:r w:rsidRPr="00660587">
        <w:rPr>
          <w:iCs/>
        </w:rPr>
        <w:t xml:space="preserve">. </w:t>
      </w:r>
    </w:p>
    <w:p w14:paraId="6277F5EA" w14:textId="77777777" w:rsidR="008C1450" w:rsidRPr="004B6BB9" w:rsidRDefault="008C1450" w:rsidP="008C1450">
      <w:pPr>
        <w:spacing w:after="0"/>
        <w:rPr>
          <w:b/>
          <w:i/>
          <w:highlight w:val="yellow"/>
        </w:rPr>
      </w:pPr>
    </w:p>
    <w:p w14:paraId="2F21F943" w14:textId="77777777" w:rsidR="009C2CAD" w:rsidRPr="00660587" w:rsidRDefault="009C2CAD" w:rsidP="008C1450">
      <w:pPr>
        <w:spacing w:after="0"/>
        <w:rPr>
          <w:b/>
        </w:rPr>
      </w:pPr>
      <w:r w:rsidRPr="00660587">
        <w:rPr>
          <w:b/>
          <w:i/>
        </w:rPr>
        <w:t>Sustainability</w:t>
      </w:r>
      <w:r w:rsidR="003830B6" w:rsidRPr="00660587">
        <w:rPr>
          <w:b/>
          <w:i/>
        </w:rPr>
        <w:t xml:space="preserve"> and Scaling Up</w:t>
      </w:r>
    </w:p>
    <w:p w14:paraId="45643E5B" w14:textId="77777777" w:rsidR="008C1450" w:rsidRPr="00660587" w:rsidRDefault="008C1450" w:rsidP="00BA29E4">
      <w:pPr>
        <w:rPr>
          <w:iCs/>
        </w:rPr>
      </w:pPr>
    </w:p>
    <w:p w14:paraId="31B8F9AF" w14:textId="040C2F8A" w:rsidR="0025442F" w:rsidRPr="00660587" w:rsidRDefault="2B55915E" w:rsidP="00BA29E4">
      <w:r>
        <w:t>The project is guided by nationa</w:t>
      </w:r>
      <w:r w:rsidR="2DE5F658">
        <w:t xml:space="preserve">l priorities and guidelines developed by the Government of Jordan, including 2018 </w:t>
      </w:r>
      <w:r w:rsidR="66B59C98">
        <w:t xml:space="preserve">PVE National </w:t>
      </w:r>
      <w:r w:rsidR="2DE5F658">
        <w:t>Action Plan, Vision 2025, and Jordan Response Plan (JRP) 20</w:t>
      </w:r>
      <w:r w:rsidR="32EC1CDD">
        <w:t>20</w:t>
      </w:r>
      <w:r w:rsidR="2DE5F658">
        <w:t>-202</w:t>
      </w:r>
      <w:r w:rsidR="32EC1CDD">
        <w:t>2</w:t>
      </w:r>
      <w:r w:rsidR="6C02A78C">
        <w:t>, and Socio-Economic Framework for COVID-19 Response in Jordan</w:t>
      </w:r>
      <w:r w:rsidR="2DE5F658">
        <w:t>. These principles will highlight the importance of combined efforts of peacebuilding, resilience, and humanitarian needs</w:t>
      </w:r>
      <w:r w:rsidR="00BD6FE9">
        <w:t>, with an aim of aligning with the Humanitarian-Development-Peace Nexus approach</w:t>
      </w:r>
      <w:r w:rsidR="2DE5F658">
        <w:t xml:space="preserve">. </w:t>
      </w:r>
      <w:r w:rsidR="66B59C98">
        <w:t xml:space="preserve"> </w:t>
      </w:r>
    </w:p>
    <w:p w14:paraId="204F7323" w14:textId="77777777" w:rsidR="0025442F" w:rsidRPr="00660587" w:rsidRDefault="0025442F" w:rsidP="00B55EB1">
      <w:pPr>
        <w:ind w:left="540"/>
        <w:rPr>
          <w:iCs/>
        </w:rPr>
      </w:pPr>
    </w:p>
    <w:p w14:paraId="2300C0E9" w14:textId="4C6A1380" w:rsidR="009946A7" w:rsidRDefault="009946A7" w:rsidP="00BA29E4">
      <w:pPr>
        <w:rPr>
          <w:iCs/>
        </w:rPr>
      </w:pPr>
      <w:r w:rsidRPr="00660587">
        <w:rPr>
          <w:iCs/>
        </w:rPr>
        <w:t xml:space="preserve">In this regard, </w:t>
      </w:r>
      <w:r w:rsidR="00B55EB1" w:rsidRPr="00660587">
        <w:rPr>
          <w:iCs/>
        </w:rPr>
        <w:t xml:space="preserve">UNDP will </w:t>
      </w:r>
      <w:r w:rsidRPr="00660587">
        <w:rPr>
          <w:iCs/>
        </w:rPr>
        <w:t xml:space="preserve">coordinate with relevant stakeholders (government institutions, CSOs, international </w:t>
      </w:r>
      <w:r w:rsidR="004C35FD" w:rsidRPr="00660587">
        <w:rPr>
          <w:iCs/>
        </w:rPr>
        <w:t>community</w:t>
      </w:r>
      <w:r w:rsidRPr="00660587">
        <w:rPr>
          <w:iCs/>
        </w:rPr>
        <w:t xml:space="preserve">) </w:t>
      </w:r>
      <w:r w:rsidR="00103EC5" w:rsidRPr="00660587">
        <w:rPr>
          <w:iCs/>
        </w:rPr>
        <w:t xml:space="preserve">in the area of </w:t>
      </w:r>
      <w:r w:rsidR="00BE15D9" w:rsidRPr="00660587">
        <w:rPr>
          <w:iCs/>
        </w:rPr>
        <w:t>PVE</w:t>
      </w:r>
      <w:r w:rsidR="00103EC5" w:rsidRPr="00660587">
        <w:rPr>
          <w:iCs/>
        </w:rPr>
        <w:t>, resilience</w:t>
      </w:r>
      <w:r w:rsidR="00BE15D9" w:rsidRPr="00660587">
        <w:rPr>
          <w:iCs/>
        </w:rPr>
        <w:t>, and humanitarian and development</w:t>
      </w:r>
      <w:r w:rsidR="00103EC5" w:rsidRPr="00660587">
        <w:rPr>
          <w:iCs/>
        </w:rPr>
        <w:t xml:space="preserve"> assistance, </w:t>
      </w:r>
      <w:r w:rsidRPr="00660587">
        <w:rPr>
          <w:iCs/>
        </w:rPr>
        <w:t>for the implementation of the project</w:t>
      </w:r>
      <w:r w:rsidR="00BE15D9" w:rsidRPr="00660587">
        <w:rPr>
          <w:iCs/>
        </w:rPr>
        <w:t xml:space="preserve">. It will also </w:t>
      </w:r>
      <w:r w:rsidRPr="00660587">
        <w:rPr>
          <w:iCs/>
        </w:rPr>
        <w:t xml:space="preserve">develop capacities of relevant actors by providing training </w:t>
      </w:r>
      <w:r w:rsidR="004C35FD" w:rsidRPr="00660587">
        <w:rPr>
          <w:iCs/>
        </w:rPr>
        <w:t xml:space="preserve">and capacity building </w:t>
      </w:r>
      <w:r w:rsidRPr="00660587">
        <w:rPr>
          <w:iCs/>
        </w:rPr>
        <w:t xml:space="preserve">opportunities to them. In doing so, UNDP will further develop the existing capacities particularly at community and government levels, and </w:t>
      </w:r>
      <w:r w:rsidR="00103EC5" w:rsidRPr="00660587">
        <w:rPr>
          <w:iCs/>
        </w:rPr>
        <w:t>ensure sustainability of the project outcome.</w:t>
      </w:r>
      <w:r w:rsidR="00C04752" w:rsidRPr="00660587">
        <w:rPr>
          <w:iCs/>
        </w:rPr>
        <w:t xml:space="preserve"> Scaling up of the project, particularly at different geographical locations and </w:t>
      </w:r>
      <w:r w:rsidR="00C04752" w:rsidRPr="00660587">
        <w:rPr>
          <w:iCs/>
        </w:rPr>
        <w:lastRenderedPageBreak/>
        <w:t>government levels</w:t>
      </w:r>
      <w:r w:rsidR="004C35FD" w:rsidRPr="00660587">
        <w:rPr>
          <w:iCs/>
        </w:rPr>
        <w:t xml:space="preserve"> for the achievement of human security</w:t>
      </w:r>
      <w:r w:rsidR="00C04752" w:rsidRPr="00660587">
        <w:rPr>
          <w:iCs/>
        </w:rPr>
        <w:t>, is also the focus of the result of the project.</w:t>
      </w:r>
    </w:p>
    <w:p w14:paraId="6EF57126" w14:textId="77777777" w:rsidR="009941E9" w:rsidRDefault="009941E9" w:rsidP="00F82BB6">
      <w:pPr>
        <w:jc w:val="left"/>
        <w:rPr>
          <w:i/>
        </w:rPr>
      </w:pPr>
    </w:p>
    <w:p w14:paraId="5902BC15" w14:textId="77777777" w:rsidR="009941E9" w:rsidRPr="00BE15D9" w:rsidRDefault="00D55D40" w:rsidP="009941E9">
      <w:pPr>
        <w:pStyle w:val="Heading1"/>
        <w:pBdr>
          <w:top w:val="single" w:sz="4" w:space="0" w:color="auto"/>
        </w:pBdr>
      </w:pPr>
      <w:r w:rsidRPr="00BE15D9">
        <w:t xml:space="preserve">Project </w:t>
      </w:r>
      <w:r w:rsidR="009941E9" w:rsidRPr="00BE15D9">
        <w:t>Management</w:t>
      </w:r>
    </w:p>
    <w:p w14:paraId="58F66671" w14:textId="77777777" w:rsidR="00D55D40" w:rsidRPr="007B7825" w:rsidRDefault="00D55D40" w:rsidP="008C1450">
      <w:pPr>
        <w:spacing w:after="0"/>
        <w:rPr>
          <w:b/>
          <w:i/>
        </w:rPr>
      </w:pPr>
      <w:r w:rsidRPr="007B7825">
        <w:rPr>
          <w:b/>
          <w:i/>
        </w:rPr>
        <w:t>Cost Efficiency and Effectiveness</w:t>
      </w:r>
    </w:p>
    <w:p w14:paraId="7FC4DDB4" w14:textId="77777777" w:rsidR="008C1450" w:rsidRPr="007B7825" w:rsidRDefault="008C1450" w:rsidP="00BA29E4">
      <w:pPr>
        <w:jc w:val="left"/>
        <w:rPr>
          <w:i/>
        </w:rPr>
      </w:pPr>
    </w:p>
    <w:p w14:paraId="3E7A4EBB" w14:textId="77777777" w:rsidR="00BD4E3D" w:rsidRPr="007B7825" w:rsidRDefault="00BD4E3D" w:rsidP="00BA29E4">
      <w:pPr>
        <w:jc w:val="left"/>
        <w:rPr>
          <w:iCs/>
        </w:rPr>
      </w:pPr>
      <w:r w:rsidRPr="007B7825">
        <w:rPr>
          <w:iCs/>
        </w:rPr>
        <w:t xml:space="preserve">Using a portfolio management approach to improve cost effectiveness by leveraging activities and partnership with different initiatives/projects, UNDP Jordan will </w:t>
      </w:r>
      <w:r w:rsidR="007E50CD" w:rsidRPr="007B7825">
        <w:rPr>
          <w:iCs/>
        </w:rPr>
        <w:t>ensure</w:t>
      </w:r>
      <w:r w:rsidRPr="007B7825">
        <w:rPr>
          <w:iCs/>
        </w:rPr>
        <w:t xml:space="preserve"> its efforts to achieve cost-efficienc</w:t>
      </w:r>
      <w:r w:rsidR="007E50CD" w:rsidRPr="007B7825">
        <w:rPr>
          <w:iCs/>
        </w:rPr>
        <w:t xml:space="preserve">y and effectiveness of spending. </w:t>
      </w:r>
    </w:p>
    <w:p w14:paraId="752B3E03" w14:textId="77777777" w:rsidR="00BD4E3D" w:rsidRPr="007B7825" w:rsidRDefault="00BD4E3D" w:rsidP="00F82BB6">
      <w:pPr>
        <w:jc w:val="left"/>
        <w:rPr>
          <w:i/>
        </w:rPr>
      </w:pPr>
    </w:p>
    <w:p w14:paraId="16F6F061" w14:textId="77777777" w:rsidR="00130AC0" w:rsidRPr="007B7825" w:rsidRDefault="00104FDC" w:rsidP="00BA29E4">
      <w:pPr>
        <w:jc w:val="left"/>
        <w:rPr>
          <w:b/>
          <w:i/>
        </w:rPr>
      </w:pPr>
      <w:r w:rsidRPr="007B7825">
        <w:rPr>
          <w:b/>
          <w:i/>
        </w:rPr>
        <w:t>Project Management</w:t>
      </w:r>
    </w:p>
    <w:p w14:paraId="1A70734F" w14:textId="77777777" w:rsidR="00FD59AA" w:rsidRPr="007B7825" w:rsidRDefault="00FD59AA" w:rsidP="00BA29E4">
      <w:pPr>
        <w:rPr>
          <w:iCs/>
          <w:szCs w:val="22"/>
        </w:rPr>
      </w:pPr>
    </w:p>
    <w:p w14:paraId="46BDD19C" w14:textId="77777777" w:rsidR="00C114C0" w:rsidRDefault="001A1072" w:rsidP="00C114C0">
      <w:pPr>
        <w:rPr>
          <w:iCs/>
          <w:szCs w:val="22"/>
        </w:rPr>
      </w:pPr>
      <w:r w:rsidRPr="007B7825">
        <w:rPr>
          <w:iCs/>
          <w:szCs w:val="22"/>
        </w:rPr>
        <w:t xml:space="preserve">The project will be managed on a day-to-day basis by a dedicated project team composed of a Programme </w:t>
      </w:r>
      <w:r w:rsidR="00133EA5" w:rsidRPr="007B7825">
        <w:rPr>
          <w:iCs/>
          <w:szCs w:val="22"/>
        </w:rPr>
        <w:t>Specia</w:t>
      </w:r>
      <w:r w:rsidR="004D4178" w:rsidRPr="007B7825">
        <w:rPr>
          <w:iCs/>
          <w:szCs w:val="22"/>
        </w:rPr>
        <w:t xml:space="preserve">list </w:t>
      </w:r>
      <w:r w:rsidRPr="007B7825">
        <w:rPr>
          <w:iCs/>
          <w:szCs w:val="22"/>
        </w:rPr>
        <w:t>assisted by national Project</w:t>
      </w:r>
      <w:r w:rsidR="00C114C0">
        <w:rPr>
          <w:iCs/>
          <w:szCs w:val="22"/>
        </w:rPr>
        <w:t xml:space="preserve"> </w:t>
      </w:r>
      <w:r w:rsidRPr="007B7825">
        <w:rPr>
          <w:iCs/>
          <w:szCs w:val="22"/>
        </w:rPr>
        <w:t>Officer</w:t>
      </w:r>
      <w:r w:rsidR="00773E21" w:rsidRPr="007B7825">
        <w:rPr>
          <w:iCs/>
          <w:szCs w:val="22"/>
        </w:rPr>
        <w:t>s</w:t>
      </w:r>
      <w:r w:rsidRPr="007B7825">
        <w:rPr>
          <w:iCs/>
          <w:szCs w:val="22"/>
        </w:rPr>
        <w:t xml:space="preserve"> (PO</w:t>
      </w:r>
      <w:r w:rsidR="00773E21" w:rsidRPr="007B7825">
        <w:rPr>
          <w:iCs/>
          <w:szCs w:val="22"/>
        </w:rPr>
        <w:t>s</w:t>
      </w:r>
      <w:r w:rsidRPr="007B7825">
        <w:rPr>
          <w:iCs/>
          <w:szCs w:val="22"/>
        </w:rPr>
        <w:t>) in PVE</w:t>
      </w:r>
      <w:r w:rsidR="00A871F3" w:rsidRPr="007B7825">
        <w:rPr>
          <w:iCs/>
          <w:szCs w:val="22"/>
        </w:rPr>
        <w:t xml:space="preserve"> and </w:t>
      </w:r>
      <w:r w:rsidR="00032ADE" w:rsidRPr="007B7825">
        <w:rPr>
          <w:iCs/>
          <w:szCs w:val="22"/>
        </w:rPr>
        <w:t>Livelihoods</w:t>
      </w:r>
      <w:r w:rsidRPr="007B7825">
        <w:rPr>
          <w:iCs/>
          <w:szCs w:val="22"/>
        </w:rPr>
        <w:t>.</w:t>
      </w:r>
      <w:r w:rsidR="004F0F66" w:rsidRPr="007B7825">
        <w:rPr>
          <w:iCs/>
          <w:szCs w:val="22"/>
        </w:rPr>
        <w:t xml:space="preserve"> The POs will be supporting the project team in the follow up and coordination of activities.</w:t>
      </w:r>
      <w:r w:rsidR="00C114C0">
        <w:rPr>
          <w:iCs/>
          <w:szCs w:val="22"/>
        </w:rPr>
        <w:t xml:space="preserve"> </w:t>
      </w:r>
      <w:r w:rsidR="004F0F66" w:rsidRPr="007B7825">
        <w:rPr>
          <w:iCs/>
          <w:szCs w:val="22"/>
        </w:rPr>
        <w:t xml:space="preserve">The team will be supported by the overall guidance </w:t>
      </w:r>
      <w:r w:rsidR="007B7825" w:rsidRPr="007B7825">
        <w:rPr>
          <w:iCs/>
          <w:szCs w:val="22"/>
        </w:rPr>
        <w:t xml:space="preserve">and technical expertise </w:t>
      </w:r>
      <w:r w:rsidR="004F0F66" w:rsidRPr="007B7825">
        <w:rPr>
          <w:iCs/>
          <w:szCs w:val="22"/>
        </w:rPr>
        <w:t>of the Team Leader</w:t>
      </w:r>
      <w:r w:rsidR="007B7825" w:rsidRPr="007B7825">
        <w:rPr>
          <w:iCs/>
          <w:szCs w:val="22"/>
        </w:rPr>
        <w:t>s</w:t>
      </w:r>
      <w:r w:rsidR="004F0F66" w:rsidRPr="007B7825">
        <w:rPr>
          <w:iCs/>
          <w:szCs w:val="22"/>
        </w:rPr>
        <w:t xml:space="preserve">, </w:t>
      </w:r>
      <w:r w:rsidR="00C114C0">
        <w:rPr>
          <w:iCs/>
          <w:szCs w:val="22"/>
        </w:rPr>
        <w:t>Governance and Peace and Inclusive Growth and Sustainable Livelihoods</w:t>
      </w:r>
      <w:r w:rsidR="004F0F66" w:rsidRPr="007B7825">
        <w:rPr>
          <w:iCs/>
          <w:szCs w:val="22"/>
        </w:rPr>
        <w:t>,</w:t>
      </w:r>
      <w:r w:rsidR="00A871F3" w:rsidRPr="007B7825">
        <w:rPr>
          <w:iCs/>
          <w:szCs w:val="22"/>
        </w:rPr>
        <w:t xml:space="preserve"> </w:t>
      </w:r>
      <w:r w:rsidR="004F0F66" w:rsidRPr="007B7825">
        <w:rPr>
          <w:iCs/>
          <w:szCs w:val="22"/>
        </w:rPr>
        <w:t>and the Program Manager in the Country Office.</w:t>
      </w:r>
    </w:p>
    <w:p w14:paraId="76583175" w14:textId="77777777" w:rsidR="00C114C0" w:rsidRDefault="00C114C0" w:rsidP="00C114C0">
      <w:pPr>
        <w:rPr>
          <w:iCs/>
          <w:szCs w:val="22"/>
        </w:rPr>
      </w:pPr>
    </w:p>
    <w:p w14:paraId="25CFFE31" w14:textId="087EA556" w:rsidR="0022681B" w:rsidRDefault="004F0F66" w:rsidP="00C114C0">
      <w:pPr>
        <w:rPr>
          <w:iCs/>
          <w:szCs w:val="22"/>
        </w:rPr>
        <w:sectPr w:rsidR="0022681B" w:rsidSect="00302288">
          <w:headerReference w:type="default" r:id="rId16"/>
          <w:footerReference w:type="even" r:id="rId17"/>
          <w:footerReference w:type="default" r:id="rId18"/>
          <w:headerReference w:type="first" r:id="rId19"/>
          <w:footerReference w:type="first" r:id="rId20"/>
          <w:pgSz w:w="11906" w:h="16838" w:code="9"/>
          <w:pgMar w:top="864" w:right="1152" w:bottom="864" w:left="1152" w:header="720" w:footer="432" w:gutter="0"/>
          <w:cols w:space="708"/>
          <w:titlePg/>
          <w:docGrid w:linePitch="360"/>
        </w:sectPr>
      </w:pPr>
      <w:r w:rsidRPr="007B7825">
        <w:rPr>
          <w:iCs/>
          <w:szCs w:val="22"/>
        </w:rPr>
        <w:t>All operational procedures are undertaken based on UNDP rules and regulations and will be processed through the country office.</w:t>
      </w:r>
      <w:r w:rsidR="00C114C0">
        <w:rPr>
          <w:iCs/>
          <w:szCs w:val="22"/>
        </w:rPr>
        <w:t xml:space="preserve"> All o</w:t>
      </w:r>
      <w:r w:rsidRPr="007B7825">
        <w:rPr>
          <w:iCs/>
          <w:szCs w:val="22"/>
        </w:rPr>
        <w:t xml:space="preserve">perational activities </w:t>
      </w:r>
      <w:r w:rsidR="000A0A4E">
        <w:rPr>
          <w:iCs/>
          <w:szCs w:val="22"/>
        </w:rPr>
        <w:t xml:space="preserve">will be </w:t>
      </w:r>
      <w:r w:rsidR="00391E07" w:rsidRPr="007B7825">
        <w:rPr>
          <w:iCs/>
          <w:szCs w:val="22"/>
        </w:rPr>
        <w:t>handled by dedicated operation</w:t>
      </w:r>
      <w:r w:rsidR="000A0A4E">
        <w:rPr>
          <w:iCs/>
          <w:szCs w:val="22"/>
        </w:rPr>
        <w:t>s</w:t>
      </w:r>
      <w:r w:rsidR="00391E07" w:rsidRPr="007B7825">
        <w:rPr>
          <w:iCs/>
          <w:szCs w:val="22"/>
        </w:rPr>
        <w:t xml:space="preserve"> team, </w:t>
      </w:r>
      <w:r w:rsidR="000A0A4E">
        <w:rPr>
          <w:iCs/>
          <w:szCs w:val="22"/>
        </w:rPr>
        <w:t xml:space="preserve">including </w:t>
      </w:r>
      <w:r w:rsidR="00391E07" w:rsidRPr="007B7825">
        <w:rPr>
          <w:iCs/>
          <w:szCs w:val="22"/>
        </w:rPr>
        <w:t>an o</w:t>
      </w:r>
      <w:r w:rsidRPr="007B7825">
        <w:rPr>
          <w:iCs/>
          <w:szCs w:val="22"/>
        </w:rPr>
        <w:t>peration</w:t>
      </w:r>
      <w:r w:rsidR="000A0A4E">
        <w:rPr>
          <w:iCs/>
          <w:szCs w:val="22"/>
        </w:rPr>
        <w:t>s</w:t>
      </w:r>
      <w:r w:rsidRPr="007B7825">
        <w:rPr>
          <w:iCs/>
          <w:szCs w:val="22"/>
        </w:rPr>
        <w:t xml:space="preserve"> </w:t>
      </w:r>
      <w:r w:rsidR="00391E07" w:rsidRPr="007B7825">
        <w:rPr>
          <w:iCs/>
          <w:szCs w:val="22"/>
        </w:rPr>
        <w:t xml:space="preserve">officer, </w:t>
      </w:r>
      <w:r w:rsidR="000A0A4E">
        <w:rPr>
          <w:iCs/>
          <w:szCs w:val="22"/>
        </w:rPr>
        <w:t>f</w:t>
      </w:r>
      <w:r w:rsidR="00391E07" w:rsidRPr="007B7825">
        <w:rPr>
          <w:iCs/>
          <w:szCs w:val="22"/>
        </w:rPr>
        <w:t>inance officer and procurement o</w:t>
      </w:r>
      <w:r w:rsidRPr="007B7825">
        <w:rPr>
          <w:iCs/>
          <w:szCs w:val="22"/>
        </w:rPr>
        <w:t>fficer. In terms of partnership, communication, and visibility, the Project Team will keep the Embassy of Japan and its relevant staff informed in advance for any events,</w:t>
      </w:r>
      <w:r w:rsidR="0022681B" w:rsidRPr="007B7825">
        <w:rPr>
          <w:iCs/>
          <w:szCs w:val="22"/>
        </w:rPr>
        <w:t xml:space="preserve"> activities</w:t>
      </w:r>
      <w:r w:rsidR="00A871F3" w:rsidRPr="007B7825">
        <w:rPr>
          <w:iCs/>
          <w:szCs w:val="22"/>
        </w:rPr>
        <w:t>, publications, etc.</w:t>
      </w:r>
      <w:r w:rsidR="00A871F3">
        <w:rPr>
          <w:iCs/>
          <w:szCs w:val="22"/>
        </w:rPr>
        <w:t xml:space="preserve"> </w:t>
      </w:r>
    </w:p>
    <w:p w14:paraId="37577219" w14:textId="77777777" w:rsidR="00004BF2" w:rsidRDefault="0022681B" w:rsidP="0022681B">
      <w:pPr>
        <w:pStyle w:val="Heading1"/>
      </w:pPr>
      <w:r>
        <w:lastRenderedPageBreak/>
        <w:t>Theory of Change</w:t>
      </w:r>
    </w:p>
    <w:p w14:paraId="30C0E9D2" w14:textId="654106A8" w:rsidR="0022681B" w:rsidRPr="0022681B" w:rsidRDefault="0736CEEC" w:rsidP="0022681B">
      <w:pPr>
        <w:jc w:val="center"/>
      </w:pPr>
      <w:r>
        <w:rPr>
          <w:noProof/>
        </w:rPr>
        <w:drawing>
          <wp:inline distT="0" distB="0" distL="0" distR="0" wp14:anchorId="0397FDD2" wp14:editId="5A118EA6">
            <wp:extent cx="9601200" cy="52274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21">
                      <a:extLst>
                        <a:ext uri="{28A0092B-C50C-407E-A947-70E740481C1C}">
                          <a14:useLocalDpi xmlns:a14="http://schemas.microsoft.com/office/drawing/2010/main" val="0"/>
                        </a:ext>
                      </a:extLst>
                    </a:blip>
                    <a:srcRect l="5536" t="6278" r="4165" b="6320"/>
                    <a:stretch/>
                  </pic:blipFill>
                  <pic:spPr bwMode="auto">
                    <a:xfrm>
                      <a:off x="0" y="0"/>
                      <a:ext cx="9601200" cy="5227443"/>
                    </a:xfrm>
                    <a:prstGeom prst="rect">
                      <a:avLst/>
                    </a:prstGeom>
                    <a:ln>
                      <a:noFill/>
                    </a:ln>
                    <a:extLst>
                      <a:ext uri="{53640926-AAD7-44D8-BBD7-CCE9431645EC}">
                        <a14:shadowObscured xmlns:a14="http://schemas.microsoft.com/office/drawing/2010/main"/>
                      </a:ext>
                    </a:extLst>
                  </pic:spPr>
                </pic:pic>
              </a:graphicData>
            </a:graphic>
          </wp:inline>
        </w:drawing>
      </w:r>
    </w:p>
    <w:p w14:paraId="73D6F4BA" w14:textId="77777777" w:rsidR="001C2D1D" w:rsidRPr="0063436F" w:rsidRDefault="001C2D1D" w:rsidP="001A07B5">
      <w:pPr>
        <w:pStyle w:val="Heading1"/>
        <w:spacing w:before="0" w:after="0"/>
      </w:pPr>
      <w:r w:rsidRPr="0063436F">
        <w:lastRenderedPageBreak/>
        <w:t>Results Framework</w:t>
      </w:r>
      <w:r w:rsidRPr="0063436F">
        <w:rPr>
          <w:rStyle w:val="FootnoteReference"/>
        </w:rPr>
        <w:footnoteReference w:id="18"/>
      </w: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780"/>
        <w:gridCol w:w="1350"/>
        <w:gridCol w:w="1350"/>
        <w:gridCol w:w="720"/>
        <w:gridCol w:w="1350"/>
        <w:gridCol w:w="1350"/>
        <w:gridCol w:w="1350"/>
        <w:gridCol w:w="2137"/>
      </w:tblGrid>
      <w:tr w:rsidR="001C2D1D" w:rsidRPr="0063436F" w14:paraId="45543F9D" w14:textId="77777777" w:rsidTr="7DF5A6EA">
        <w:trPr>
          <w:cantSplit/>
          <w:tblHeader/>
        </w:trPr>
        <w:tc>
          <w:tcPr>
            <w:tcW w:w="15007" w:type="dxa"/>
            <w:gridSpan w:val="9"/>
          </w:tcPr>
          <w:p w14:paraId="187782CD" w14:textId="5946EF5D" w:rsidR="001C2D1D" w:rsidRPr="00423487" w:rsidRDefault="001C2D1D" w:rsidP="00896281">
            <w:pPr>
              <w:spacing w:before="60"/>
              <w:rPr>
                <w:b/>
                <w:sz w:val="20"/>
                <w:szCs w:val="20"/>
              </w:rPr>
            </w:pPr>
            <w:r w:rsidRPr="00423487">
              <w:rPr>
                <w:b/>
                <w:sz w:val="20"/>
                <w:szCs w:val="20"/>
              </w:rPr>
              <w:lastRenderedPageBreak/>
              <w:t>Intended Outcome as stated in the UNDAF Results and Resource Framework:</w:t>
            </w:r>
          </w:p>
          <w:p w14:paraId="3BE1B66F" w14:textId="77777777" w:rsidR="001C2D1D" w:rsidRPr="00423487" w:rsidRDefault="001C2D1D" w:rsidP="00896281">
            <w:pPr>
              <w:spacing w:after="0"/>
              <w:rPr>
                <w:bCs/>
                <w:sz w:val="20"/>
                <w:szCs w:val="20"/>
              </w:rPr>
            </w:pPr>
            <w:r w:rsidRPr="00423487">
              <w:rPr>
                <w:bCs/>
                <w:sz w:val="20"/>
                <w:szCs w:val="20"/>
              </w:rPr>
              <w:t>UNSDF outcome 2: People especially the most excluded and vulnerable proactively claim their rights and fulfil their responsibilities for improved human security and resilience</w:t>
            </w:r>
          </w:p>
          <w:p w14:paraId="5D20907F" w14:textId="77777777" w:rsidR="001C2D1D" w:rsidRPr="0063436F" w:rsidRDefault="001C2D1D" w:rsidP="00896281">
            <w:pPr>
              <w:spacing w:after="0"/>
              <w:rPr>
                <w:b/>
                <w:sz w:val="20"/>
                <w:szCs w:val="20"/>
                <w:highlight w:val="yellow"/>
              </w:rPr>
            </w:pPr>
            <w:r w:rsidRPr="00423487">
              <w:rPr>
                <w:bCs/>
                <w:sz w:val="20"/>
                <w:szCs w:val="20"/>
              </w:rPr>
              <w:t>UNSDG outcome 3: Enhanced opportunities for inclusive engagement of people living in Jordan in social, economic and political spheres</w:t>
            </w:r>
          </w:p>
        </w:tc>
      </w:tr>
      <w:tr w:rsidR="001C2D1D" w:rsidRPr="0063436F" w14:paraId="77CA73A5" w14:textId="77777777" w:rsidTr="7DF5A6EA">
        <w:trPr>
          <w:cantSplit/>
          <w:tblHeader/>
        </w:trPr>
        <w:tc>
          <w:tcPr>
            <w:tcW w:w="15007" w:type="dxa"/>
            <w:gridSpan w:val="9"/>
          </w:tcPr>
          <w:p w14:paraId="4C193DF4" w14:textId="77777777" w:rsidR="001C2D1D" w:rsidRPr="00FB1797" w:rsidRDefault="001C2D1D" w:rsidP="00896281">
            <w:pPr>
              <w:spacing w:before="60"/>
              <w:rPr>
                <w:b/>
                <w:sz w:val="20"/>
                <w:szCs w:val="20"/>
              </w:rPr>
            </w:pPr>
            <w:r w:rsidRPr="00FB1797">
              <w:rPr>
                <w:b/>
                <w:sz w:val="20"/>
                <w:szCs w:val="20"/>
              </w:rPr>
              <w:t>Outcome indicators as stated in the Country Programme Document Results and Resources Framework, including baseline and targets:</w:t>
            </w:r>
          </w:p>
          <w:p w14:paraId="7F6AA443" w14:textId="77777777" w:rsidR="001C2D1D" w:rsidRPr="00FB1797" w:rsidRDefault="001C2D1D" w:rsidP="00896281">
            <w:pPr>
              <w:spacing w:after="0"/>
              <w:rPr>
                <w:bCs/>
                <w:sz w:val="20"/>
                <w:szCs w:val="20"/>
              </w:rPr>
            </w:pPr>
            <w:r w:rsidRPr="00FB1797">
              <w:rPr>
                <w:bCs/>
                <w:sz w:val="20"/>
                <w:szCs w:val="20"/>
              </w:rPr>
              <w:t>Output 1.3: National and civic capacities strengthened for social cohesion and prevention of violent extremism</w:t>
            </w:r>
          </w:p>
          <w:p w14:paraId="392C8A63" w14:textId="77777777" w:rsidR="001C2D1D" w:rsidRPr="00FB1797" w:rsidRDefault="001C2D1D" w:rsidP="00896281">
            <w:pPr>
              <w:spacing w:after="0"/>
              <w:rPr>
                <w:bCs/>
                <w:sz w:val="20"/>
                <w:szCs w:val="20"/>
              </w:rPr>
            </w:pPr>
            <w:r w:rsidRPr="00FB1797">
              <w:rPr>
                <w:bCs/>
                <w:sz w:val="20"/>
                <w:szCs w:val="20"/>
              </w:rPr>
              <w:t>- # of governmental/civil society programmes in place to encourage inter-community dialogue, disaggregated by sector and governorate (BL: 0; T: 6)</w:t>
            </w:r>
          </w:p>
          <w:p w14:paraId="7CC5CF1A" w14:textId="77777777" w:rsidR="001C2D1D" w:rsidRPr="00FB1797" w:rsidRDefault="001C2D1D" w:rsidP="00896281">
            <w:pPr>
              <w:spacing w:after="0"/>
              <w:rPr>
                <w:bCs/>
                <w:sz w:val="20"/>
                <w:szCs w:val="20"/>
              </w:rPr>
            </w:pPr>
            <w:r w:rsidRPr="00FB1797">
              <w:rPr>
                <w:bCs/>
                <w:sz w:val="20"/>
                <w:szCs w:val="20"/>
              </w:rPr>
              <w:t>- # of programmes designed to encourage refugee engagement in cultural activities as means for social cohesion (BL: 11; T: 30)</w:t>
            </w:r>
          </w:p>
          <w:p w14:paraId="4BA7222A" w14:textId="77777777" w:rsidR="001C2D1D" w:rsidRPr="00FB1797" w:rsidRDefault="001C2D1D" w:rsidP="00896281">
            <w:pPr>
              <w:spacing w:after="0"/>
              <w:rPr>
                <w:bCs/>
                <w:sz w:val="20"/>
                <w:szCs w:val="20"/>
              </w:rPr>
            </w:pPr>
            <w:r w:rsidRPr="00FB1797">
              <w:rPr>
                <w:bCs/>
                <w:sz w:val="20"/>
                <w:szCs w:val="20"/>
              </w:rPr>
              <w:t>- # of governmental/civil society institutions capacitated on preventing violent extremism, disaggregated by governorate (BL: 10; T: 50)</w:t>
            </w:r>
          </w:p>
          <w:p w14:paraId="65D679B3" w14:textId="77777777" w:rsidR="001C2D1D" w:rsidRPr="00FB1797" w:rsidRDefault="001C2D1D" w:rsidP="00896281">
            <w:pPr>
              <w:spacing w:after="0"/>
              <w:rPr>
                <w:bCs/>
                <w:sz w:val="20"/>
                <w:szCs w:val="20"/>
              </w:rPr>
            </w:pPr>
            <w:r w:rsidRPr="00FB1797">
              <w:rPr>
                <w:bCs/>
                <w:sz w:val="20"/>
                <w:szCs w:val="20"/>
              </w:rPr>
              <w:t xml:space="preserve">Output 2.1: Employment opportunities and livelihoods strengthened, for stabilization, and return to sustainable development pathways </w:t>
            </w:r>
          </w:p>
          <w:p w14:paraId="7007BD10" w14:textId="77777777" w:rsidR="001C2D1D" w:rsidRPr="00FB1797" w:rsidRDefault="001C2D1D" w:rsidP="00896281">
            <w:pPr>
              <w:spacing w:after="0"/>
              <w:rPr>
                <w:bCs/>
                <w:sz w:val="20"/>
                <w:szCs w:val="20"/>
              </w:rPr>
            </w:pPr>
            <w:r w:rsidRPr="00FB1797">
              <w:rPr>
                <w:bCs/>
                <w:sz w:val="20"/>
                <w:szCs w:val="20"/>
              </w:rPr>
              <w:t>- # of sectors targeted for job creation, disaggregated by sector (BL: 11; T: 15)</w:t>
            </w:r>
          </w:p>
          <w:p w14:paraId="73ED045F" w14:textId="77777777" w:rsidR="001C2D1D" w:rsidRPr="00FB1797" w:rsidRDefault="001C2D1D" w:rsidP="00896281">
            <w:pPr>
              <w:spacing w:after="0"/>
              <w:rPr>
                <w:bCs/>
                <w:sz w:val="20"/>
                <w:szCs w:val="20"/>
              </w:rPr>
            </w:pPr>
            <w:r w:rsidRPr="00FB1797">
              <w:rPr>
                <w:bCs/>
                <w:sz w:val="20"/>
                <w:szCs w:val="20"/>
              </w:rPr>
              <w:t>- # of additional females/males benefiting from strengthened livelihoods, disaggregated by age group/vulnerability (incl. refugees) (BL: 19,000; T: 42,000; at least 30% women)</w:t>
            </w:r>
          </w:p>
          <w:p w14:paraId="66CDB090" w14:textId="77777777" w:rsidR="001C2D1D" w:rsidRDefault="001C2D1D" w:rsidP="00896281">
            <w:pPr>
              <w:spacing w:after="0"/>
              <w:rPr>
                <w:bCs/>
                <w:sz w:val="20"/>
                <w:szCs w:val="20"/>
              </w:rPr>
            </w:pPr>
            <w:r w:rsidRPr="00FB1797">
              <w:rPr>
                <w:bCs/>
                <w:sz w:val="20"/>
                <w:szCs w:val="20"/>
              </w:rPr>
              <w:t>- # of small and medium enterprises (SMEs) established, disaggregated by status, sex of entrepreneur, vulnerability criteria (BL: 1,091, T: 2,500)</w:t>
            </w:r>
          </w:p>
          <w:p w14:paraId="7BFB6E7C" w14:textId="77777777" w:rsidR="001C2D1D" w:rsidRPr="00FB1797" w:rsidRDefault="001C2D1D" w:rsidP="00896281">
            <w:pPr>
              <w:spacing w:after="0"/>
              <w:rPr>
                <w:bCs/>
                <w:sz w:val="20"/>
                <w:szCs w:val="20"/>
              </w:rPr>
            </w:pPr>
            <w:r>
              <w:rPr>
                <w:bCs/>
                <w:sz w:val="20"/>
                <w:szCs w:val="20"/>
              </w:rPr>
              <w:t xml:space="preserve">- </w:t>
            </w:r>
            <w:r w:rsidRPr="00FB1797">
              <w:rPr>
                <w:bCs/>
                <w:sz w:val="20"/>
                <w:szCs w:val="20"/>
              </w:rPr>
              <w:t>% of established SMEs with access to finance, disaggregated by sector, and sex of owner (BL: 0; T: 20%)</w:t>
            </w:r>
          </w:p>
        </w:tc>
      </w:tr>
      <w:tr w:rsidR="001C2D1D" w:rsidRPr="0063436F" w14:paraId="5C170836" w14:textId="77777777" w:rsidTr="7DF5A6EA">
        <w:trPr>
          <w:cantSplit/>
          <w:tblHeader/>
        </w:trPr>
        <w:tc>
          <w:tcPr>
            <w:tcW w:w="15007" w:type="dxa"/>
            <w:gridSpan w:val="9"/>
          </w:tcPr>
          <w:p w14:paraId="2CC370A9" w14:textId="77777777" w:rsidR="001C2D1D" w:rsidRPr="00FB1797" w:rsidRDefault="001C2D1D" w:rsidP="00710F87">
            <w:pPr>
              <w:spacing w:before="60"/>
              <w:rPr>
                <w:b/>
                <w:sz w:val="20"/>
                <w:szCs w:val="20"/>
              </w:rPr>
            </w:pPr>
            <w:r w:rsidRPr="00FB1797">
              <w:rPr>
                <w:b/>
                <w:sz w:val="20"/>
                <w:szCs w:val="20"/>
              </w:rPr>
              <w:t xml:space="preserve">Applicable Output(s) from the UNDP Strategic Plan: </w:t>
            </w:r>
          </w:p>
          <w:p w14:paraId="60C5D6A3" w14:textId="77777777" w:rsidR="001C2D1D" w:rsidRPr="008861A9" w:rsidRDefault="001C2D1D" w:rsidP="00896281">
            <w:pPr>
              <w:spacing w:after="0"/>
              <w:jc w:val="left"/>
              <w:rPr>
                <w:sz w:val="18"/>
                <w:szCs w:val="18"/>
              </w:rPr>
            </w:pPr>
            <w:r w:rsidRPr="008861A9">
              <w:rPr>
                <w:sz w:val="18"/>
                <w:szCs w:val="18"/>
              </w:rPr>
              <w:t>Signature solution 1:  Keeping people out of poverty</w:t>
            </w:r>
          </w:p>
          <w:p w14:paraId="20C823DA" w14:textId="77777777" w:rsidR="001C2D1D" w:rsidRPr="008861A9" w:rsidRDefault="001C2D1D" w:rsidP="00896281">
            <w:pPr>
              <w:spacing w:after="0"/>
              <w:jc w:val="left"/>
              <w:rPr>
                <w:sz w:val="18"/>
                <w:szCs w:val="18"/>
              </w:rPr>
            </w:pPr>
            <w:r w:rsidRPr="008861A9">
              <w:rPr>
                <w:sz w:val="18"/>
                <w:szCs w:val="18"/>
              </w:rPr>
              <w:t>Signature solution 2:  Strengthen effective, inclusive and accountable governance</w:t>
            </w:r>
          </w:p>
          <w:p w14:paraId="3914269B" w14:textId="77777777" w:rsidR="001C2D1D" w:rsidRPr="008861A9" w:rsidRDefault="001C2D1D" w:rsidP="00896281">
            <w:pPr>
              <w:spacing w:after="0"/>
              <w:jc w:val="left"/>
              <w:rPr>
                <w:sz w:val="18"/>
                <w:szCs w:val="18"/>
              </w:rPr>
            </w:pPr>
            <w:r w:rsidRPr="008861A9">
              <w:rPr>
                <w:sz w:val="18"/>
                <w:szCs w:val="18"/>
              </w:rPr>
              <w:t>Signature solution 3:  Enhance national prevention and recovery capacities for resilient societies</w:t>
            </w:r>
          </w:p>
          <w:p w14:paraId="5519DBED" w14:textId="77777777" w:rsidR="001C2D1D" w:rsidRPr="00FB1797" w:rsidRDefault="001C2D1D" w:rsidP="00896281">
            <w:pPr>
              <w:spacing w:after="0"/>
              <w:rPr>
                <w:bCs/>
                <w:sz w:val="20"/>
                <w:szCs w:val="20"/>
              </w:rPr>
            </w:pPr>
            <w:r w:rsidRPr="008861A9">
              <w:rPr>
                <w:sz w:val="18"/>
                <w:szCs w:val="18"/>
              </w:rPr>
              <w:t>Signature solution 6: Strengthen gender equality and the empowerment of women and girls</w:t>
            </w:r>
          </w:p>
        </w:tc>
      </w:tr>
      <w:tr w:rsidR="001C2D1D" w:rsidRPr="0063436F" w14:paraId="53F05583" w14:textId="77777777" w:rsidTr="7DF5A6EA">
        <w:trPr>
          <w:cantSplit/>
          <w:tblHeader/>
        </w:trPr>
        <w:tc>
          <w:tcPr>
            <w:tcW w:w="15007" w:type="dxa"/>
            <w:gridSpan w:val="9"/>
            <w:tcBorders>
              <w:bottom w:val="single" w:sz="4" w:space="0" w:color="auto"/>
            </w:tcBorders>
          </w:tcPr>
          <w:p w14:paraId="7AA2D5C8" w14:textId="385B962A" w:rsidR="001C2D1D" w:rsidRPr="00FB1797" w:rsidRDefault="001C2D1D" w:rsidP="00710F87">
            <w:pPr>
              <w:spacing w:before="60"/>
              <w:rPr>
                <w:b/>
                <w:sz w:val="20"/>
                <w:szCs w:val="20"/>
              </w:rPr>
            </w:pPr>
            <w:r w:rsidRPr="00FB1797">
              <w:rPr>
                <w:b/>
                <w:sz w:val="20"/>
                <w:szCs w:val="20"/>
              </w:rPr>
              <w:t>Project title and Atlas Project Number:</w:t>
            </w:r>
            <w:r w:rsidR="00163838">
              <w:rPr>
                <w:b/>
                <w:sz w:val="20"/>
                <w:szCs w:val="20"/>
              </w:rPr>
              <w:t xml:space="preserve"> </w:t>
            </w:r>
            <w:r w:rsidR="00163838" w:rsidRPr="001B718D">
              <w:t>Preventing online radicalization and enhancing community security to mitigate socio-economic impact of COVID-19 in Jordan</w:t>
            </w:r>
          </w:p>
        </w:tc>
      </w:tr>
      <w:tr w:rsidR="001C2D1D" w:rsidRPr="0063436F" w14:paraId="0BEA0312" w14:textId="77777777" w:rsidTr="7DF5A6EA">
        <w:trPr>
          <w:tblHeader/>
        </w:trPr>
        <w:tc>
          <w:tcPr>
            <w:tcW w:w="1620" w:type="dxa"/>
            <w:vMerge w:val="restart"/>
            <w:shd w:val="clear" w:color="auto" w:fill="FFFF99"/>
          </w:tcPr>
          <w:p w14:paraId="460D662B" w14:textId="77777777" w:rsidR="001C2D1D" w:rsidRPr="003E3954" w:rsidRDefault="001C2D1D" w:rsidP="00710F87">
            <w:pPr>
              <w:spacing w:before="60"/>
              <w:jc w:val="center"/>
              <w:rPr>
                <w:rFonts w:cs="Arial"/>
                <w:b/>
                <w:sz w:val="20"/>
                <w:szCs w:val="20"/>
              </w:rPr>
            </w:pPr>
            <w:r w:rsidRPr="003E3954">
              <w:rPr>
                <w:rFonts w:cs="Arial"/>
                <w:b/>
                <w:sz w:val="20"/>
                <w:szCs w:val="20"/>
              </w:rPr>
              <w:t xml:space="preserve">EXPECTED OUTPUTS </w:t>
            </w:r>
          </w:p>
        </w:tc>
        <w:tc>
          <w:tcPr>
            <w:tcW w:w="3780" w:type="dxa"/>
            <w:vMerge w:val="restart"/>
            <w:shd w:val="clear" w:color="auto" w:fill="FFFF99"/>
          </w:tcPr>
          <w:p w14:paraId="0B1568D3" w14:textId="77777777" w:rsidR="001C2D1D" w:rsidRPr="003E3954" w:rsidRDefault="001C2D1D" w:rsidP="00710F87">
            <w:pPr>
              <w:spacing w:before="60"/>
              <w:jc w:val="center"/>
              <w:rPr>
                <w:rFonts w:cs="Arial"/>
                <w:b/>
                <w:sz w:val="20"/>
                <w:szCs w:val="20"/>
              </w:rPr>
            </w:pPr>
            <w:r w:rsidRPr="003E3954">
              <w:rPr>
                <w:rFonts w:cs="Arial"/>
                <w:b/>
                <w:sz w:val="20"/>
                <w:szCs w:val="20"/>
              </w:rPr>
              <w:t>OUTPUT INDICATORS</w:t>
            </w:r>
            <w:r w:rsidRPr="003E3954">
              <w:rPr>
                <w:rStyle w:val="FootnoteReference"/>
                <w:rFonts w:cs="Arial"/>
                <w:b/>
                <w:sz w:val="20"/>
                <w:szCs w:val="20"/>
              </w:rPr>
              <w:footnoteReference w:id="19"/>
            </w:r>
          </w:p>
        </w:tc>
        <w:tc>
          <w:tcPr>
            <w:tcW w:w="1350" w:type="dxa"/>
            <w:vMerge w:val="restart"/>
            <w:shd w:val="clear" w:color="auto" w:fill="FFFF99"/>
          </w:tcPr>
          <w:p w14:paraId="4F631B07" w14:textId="77777777" w:rsidR="001C2D1D" w:rsidRPr="003E3954" w:rsidRDefault="001C2D1D" w:rsidP="00710F87">
            <w:pPr>
              <w:spacing w:before="60"/>
              <w:jc w:val="center"/>
              <w:rPr>
                <w:rFonts w:cs="Arial"/>
                <w:b/>
                <w:sz w:val="20"/>
                <w:szCs w:val="20"/>
              </w:rPr>
            </w:pPr>
            <w:r w:rsidRPr="003E3954">
              <w:rPr>
                <w:rFonts w:cs="Arial"/>
                <w:b/>
                <w:sz w:val="20"/>
                <w:szCs w:val="20"/>
              </w:rPr>
              <w:t>DATA SOURCE</w:t>
            </w:r>
          </w:p>
        </w:tc>
        <w:tc>
          <w:tcPr>
            <w:tcW w:w="2070" w:type="dxa"/>
            <w:gridSpan w:val="2"/>
            <w:shd w:val="clear" w:color="auto" w:fill="FFFF99"/>
          </w:tcPr>
          <w:p w14:paraId="2810B41C" w14:textId="77777777" w:rsidR="001C2D1D" w:rsidRPr="003E3954" w:rsidRDefault="001C2D1D" w:rsidP="00710F87">
            <w:pPr>
              <w:spacing w:before="60"/>
              <w:jc w:val="center"/>
              <w:rPr>
                <w:rFonts w:cs="Arial"/>
                <w:b/>
                <w:sz w:val="20"/>
                <w:szCs w:val="20"/>
              </w:rPr>
            </w:pPr>
            <w:r w:rsidRPr="003E3954">
              <w:rPr>
                <w:rFonts w:cs="Arial"/>
                <w:b/>
                <w:sz w:val="20"/>
                <w:szCs w:val="20"/>
              </w:rPr>
              <w:t>BASELINE</w:t>
            </w:r>
          </w:p>
        </w:tc>
        <w:tc>
          <w:tcPr>
            <w:tcW w:w="4050" w:type="dxa"/>
            <w:gridSpan w:val="3"/>
            <w:shd w:val="clear" w:color="auto" w:fill="FFFF99"/>
          </w:tcPr>
          <w:p w14:paraId="23DA6479" w14:textId="77777777" w:rsidR="001C2D1D" w:rsidRPr="003E3954" w:rsidRDefault="001C2D1D" w:rsidP="00710F87">
            <w:pPr>
              <w:pStyle w:val="Heading2"/>
              <w:spacing w:before="60"/>
              <w:ind w:left="0"/>
              <w:jc w:val="center"/>
              <w:rPr>
                <w:rFonts w:ascii="Arial" w:hAnsi="Arial" w:cs="Arial"/>
                <w:sz w:val="20"/>
                <w:szCs w:val="20"/>
              </w:rPr>
            </w:pPr>
            <w:r w:rsidRPr="003E3954">
              <w:rPr>
                <w:rFonts w:ascii="Arial" w:hAnsi="Arial" w:cs="Arial"/>
                <w:sz w:val="20"/>
                <w:szCs w:val="20"/>
              </w:rPr>
              <w:t>TARGETS</w:t>
            </w:r>
          </w:p>
        </w:tc>
        <w:tc>
          <w:tcPr>
            <w:tcW w:w="2137" w:type="dxa"/>
            <w:vMerge w:val="restart"/>
            <w:shd w:val="clear" w:color="auto" w:fill="FFFF99"/>
          </w:tcPr>
          <w:p w14:paraId="0C4D48AE" w14:textId="77777777" w:rsidR="001C2D1D" w:rsidRPr="003E3954" w:rsidRDefault="001C2D1D" w:rsidP="00710F87">
            <w:pPr>
              <w:pStyle w:val="Heading2"/>
              <w:spacing w:before="60"/>
              <w:ind w:left="0"/>
              <w:jc w:val="center"/>
              <w:rPr>
                <w:rFonts w:ascii="Arial" w:hAnsi="Arial" w:cs="Arial"/>
                <w:sz w:val="20"/>
                <w:szCs w:val="20"/>
              </w:rPr>
            </w:pPr>
            <w:r w:rsidRPr="003E3954">
              <w:rPr>
                <w:rFonts w:ascii="Arial" w:hAnsi="Arial" w:cs="Arial"/>
                <w:sz w:val="20"/>
                <w:szCs w:val="20"/>
              </w:rPr>
              <w:t>DATA COLLECTION METHODS &amp; RISKS</w:t>
            </w:r>
          </w:p>
        </w:tc>
      </w:tr>
      <w:tr w:rsidR="00DF73CE" w:rsidRPr="0063436F" w14:paraId="221ED711" w14:textId="77777777" w:rsidTr="7DF5A6EA">
        <w:trPr>
          <w:tblHeader/>
        </w:trPr>
        <w:tc>
          <w:tcPr>
            <w:tcW w:w="1620" w:type="dxa"/>
            <w:vMerge/>
          </w:tcPr>
          <w:p w14:paraId="2B84846F" w14:textId="77777777" w:rsidR="001C2D1D" w:rsidRPr="0063436F" w:rsidRDefault="001C2D1D" w:rsidP="00710F87">
            <w:pPr>
              <w:spacing w:before="60"/>
              <w:jc w:val="center"/>
              <w:rPr>
                <w:rFonts w:cs="Arial"/>
                <w:b/>
                <w:sz w:val="20"/>
                <w:szCs w:val="20"/>
                <w:highlight w:val="yellow"/>
              </w:rPr>
            </w:pPr>
          </w:p>
        </w:tc>
        <w:tc>
          <w:tcPr>
            <w:tcW w:w="3780" w:type="dxa"/>
            <w:vMerge/>
          </w:tcPr>
          <w:p w14:paraId="15D96753" w14:textId="77777777" w:rsidR="001C2D1D" w:rsidRPr="0063436F" w:rsidRDefault="001C2D1D" w:rsidP="00710F87">
            <w:pPr>
              <w:spacing w:before="60"/>
              <w:jc w:val="center"/>
              <w:rPr>
                <w:rFonts w:cs="Arial"/>
                <w:b/>
                <w:sz w:val="20"/>
                <w:szCs w:val="20"/>
                <w:highlight w:val="yellow"/>
              </w:rPr>
            </w:pPr>
          </w:p>
        </w:tc>
        <w:tc>
          <w:tcPr>
            <w:tcW w:w="1350" w:type="dxa"/>
            <w:vMerge/>
          </w:tcPr>
          <w:p w14:paraId="505D9C30" w14:textId="77777777" w:rsidR="001C2D1D" w:rsidRPr="0063436F" w:rsidRDefault="001C2D1D" w:rsidP="00710F87">
            <w:pPr>
              <w:spacing w:before="60"/>
              <w:jc w:val="center"/>
              <w:rPr>
                <w:rFonts w:cs="Arial"/>
                <w:b/>
                <w:sz w:val="20"/>
                <w:szCs w:val="20"/>
                <w:highlight w:val="yellow"/>
              </w:rPr>
            </w:pPr>
          </w:p>
        </w:tc>
        <w:tc>
          <w:tcPr>
            <w:tcW w:w="1350" w:type="dxa"/>
            <w:tcBorders>
              <w:bottom w:val="single" w:sz="4" w:space="0" w:color="auto"/>
            </w:tcBorders>
            <w:shd w:val="clear" w:color="auto" w:fill="FFFF99"/>
          </w:tcPr>
          <w:p w14:paraId="323DD0C1" w14:textId="77777777" w:rsidR="001C2D1D" w:rsidRPr="003E3954" w:rsidRDefault="001C2D1D" w:rsidP="00710F87">
            <w:pPr>
              <w:spacing w:before="60"/>
              <w:jc w:val="center"/>
              <w:rPr>
                <w:rFonts w:cs="Arial"/>
                <w:b/>
                <w:sz w:val="20"/>
                <w:szCs w:val="20"/>
              </w:rPr>
            </w:pPr>
            <w:r w:rsidRPr="003E3954">
              <w:rPr>
                <w:rFonts w:cs="Arial"/>
                <w:b/>
                <w:sz w:val="20"/>
                <w:szCs w:val="20"/>
              </w:rPr>
              <w:t>Value</w:t>
            </w:r>
          </w:p>
          <w:p w14:paraId="087E447F" w14:textId="77777777" w:rsidR="001C2D1D" w:rsidRPr="003E3954" w:rsidDel="00A84123" w:rsidRDefault="001C2D1D" w:rsidP="00710F87">
            <w:pPr>
              <w:spacing w:before="60"/>
              <w:rPr>
                <w:b/>
                <w:i/>
                <w:sz w:val="20"/>
                <w:szCs w:val="20"/>
              </w:rPr>
            </w:pPr>
          </w:p>
        </w:tc>
        <w:tc>
          <w:tcPr>
            <w:tcW w:w="720" w:type="dxa"/>
            <w:tcBorders>
              <w:bottom w:val="single" w:sz="4" w:space="0" w:color="auto"/>
            </w:tcBorders>
            <w:shd w:val="clear" w:color="auto" w:fill="FFFF99"/>
          </w:tcPr>
          <w:p w14:paraId="6F168171" w14:textId="77777777" w:rsidR="001C2D1D" w:rsidRPr="003E3954" w:rsidRDefault="001C2D1D" w:rsidP="00710F87">
            <w:pPr>
              <w:spacing w:before="60"/>
              <w:jc w:val="center"/>
              <w:rPr>
                <w:rFonts w:cs="Arial"/>
                <w:b/>
                <w:sz w:val="20"/>
                <w:szCs w:val="20"/>
              </w:rPr>
            </w:pPr>
            <w:r w:rsidRPr="003E3954">
              <w:rPr>
                <w:rFonts w:cs="Arial"/>
                <w:b/>
                <w:sz w:val="20"/>
                <w:szCs w:val="20"/>
              </w:rPr>
              <w:t>Year</w:t>
            </w:r>
          </w:p>
          <w:p w14:paraId="4D70CCED" w14:textId="77777777" w:rsidR="001C2D1D" w:rsidRPr="003E3954" w:rsidRDefault="001C2D1D" w:rsidP="00710F87">
            <w:pPr>
              <w:pStyle w:val="Header"/>
              <w:spacing w:before="60"/>
              <w:rPr>
                <w:rFonts w:cs="Arial"/>
                <w:b/>
                <w:sz w:val="20"/>
                <w:szCs w:val="20"/>
              </w:rPr>
            </w:pPr>
          </w:p>
        </w:tc>
        <w:tc>
          <w:tcPr>
            <w:tcW w:w="1350" w:type="dxa"/>
            <w:tcBorders>
              <w:bottom w:val="single" w:sz="4" w:space="0" w:color="auto"/>
            </w:tcBorders>
            <w:shd w:val="clear" w:color="auto" w:fill="FFFF99"/>
          </w:tcPr>
          <w:p w14:paraId="7B728A1E" w14:textId="46CDE5E4" w:rsidR="001C2D1D" w:rsidRPr="003E3954" w:rsidDel="00BD7C58" w:rsidRDefault="001C2D1D" w:rsidP="00710F87">
            <w:pPr>
              <w:spacing w:before="60"/>
              <w:jc w:val="center"/>
              <w:rPr>
                <w:rFonts w:cs="Arial"/>
                <w:b/>
                <w:sz w:val="20"/>
                <w:szCs w:val="20"/>
              </w:rPr>
            </w:pPr>
            <w:r w:rsidRPr="003E3954">
              <w:rPr>
                <w:rFonts w:cs="Arial"/>
                <w:b/>
                <w:sz w:val="20"/>
                <w:szCs w:val="20"/>
              </w:rPr>
              <w:t>202</w:t>
            </w:r>
            <w:r w:rsidR="008E63BE">
              <w:rPr>
                <w:rFonts w:cs="Arial"/>
                <w:b/>
                <w:sz w:val="20"/>
                <w:szCs w:val="20"/>
              </w:rPr>
              <w:t>1</w:t>
            </w:r>
          </w:p>
        </w:tc>
        <w:tc>
          <w:tcPr>
            <w:tcW w:w="1350" w:type="dxa"/>
            <w:tcBorders>
              <w:bottom w:val="single" w:sz="4" w:space="0" w:color="auto"/>
            </w:tcBorders>
            <w:shd w:val="clear" w:color="auto" w:fill="FFFF99"/>
          </w:tcPr>
          <w:p w14:paraId="7429A1EC" w14:textId="6C8C5BC5" w:rsidR="001C2D1D" w:rsidRPr="003E3954" w:rsidDel="00BD7C58" w:rsidRDefault="001C2D1D" w:rsidP="00710F87">
            <w:pPr>
              <w:spacing w:before="60"/>
              <w:jc w:val="center"/>
              <w:rPr>
                <w:rFonts w:cs="Arial"/>
                <w:b/>
                <w:sz w:val="20"/>
                <w:szCs w:val="20"/>
              </w:rPr>
            </w:pPr>
            <w:r w:rsidRPr="003E3954">
              <w:rPr>
                <w:rFonts w:cs="Arial"/>
                <w:b/>
                <w:sz w:val="20"/>
                <w:szCs w:val="20"/>
              </w:rPr>
              <w:t>202</w:t>
            </w:r>
            <w:r w:rsidR="008E63BE">
              <w:rPr>
                <w:rFonts w:cs="Arial"/>
                <w:b/>
                <w:sz w:val="20"/>
                <w:szCs w:val="20"/>
              </w:rPr>
              <w:t>2</w:t>
            </w:r>
          </w:p>
        </w:tc>
        <w:tc>
          <w:tcPr>
            <w:tcW w:w="1350" w:type="dxa"/>
            <w:tcBorders>
              <w:bottom w:val="single" w:sz="4" w:space="0" w:color="auto"/>
            </w:tcBorders>
            <w:shd w:val="clear" w:color="auto" w:fill="FFFF99"/>
          </w:tcPr>
          <w:p w14:paraId="7C35D2D7" w14:textId="77777777" w:rsidR="001C2D1D" w:rsidRPr="003E3954" w:rsidDel="00BD7C58" w:rsidRDefault="001C2D1D" w:rsidP="00710F87">
            <w:pPr>
              <w:pStyle w:val="Heading2"/>
              <w:spacing w:before="60"/>
              <w:ind w:left="0"/>
              <w:jc w:val="center"/>
              <w:rPr>
                <w:rFonts w:ascii="Arial" w:hAnsi="Arial" w:cs="Arial"/>
                <w:sz w:val="20"/>
                <w:szCs w:val="20"/>
              </w:rPr>
            </w:pPr>
            <w:r w:rsidRPr="003E3954">
              <w:rPr>
                <w:rFonts w:ascii="Arial" w:hAnsi="Arial" w:cs="Arial"/>
                <w:sz w:val="20"/>
                <w:szCs w:val="20"/>
              </w:rPr>
              <w:t>Final</w:t>
            </w:r>
          </w:p>
        </w:tc>
        <w:tc>
          <w:tcPr>
            <w:tcW w:w="2137" w:type="dxa"/>
            <w:vMerge/>
          </w:tcPr>
          <w:p w14:paraId="37E688E7" w14:textId="77777777" w:rsidR="001C2D1D" w:rsidRPr="0063436F" w:rsidRDefault="001C2D1D" w:rsidP="00710F87">
            <w:pPr>
              <w:pStyle w:val="Heading2"/>
              <w:spacing w:before="60"/>
              <w:rPr>
                <w:rFonts w:ascii="Arial" w:hAnsi="Arial" w:cs="Arial"/>
                <w:sz w:val="20"/>
                <w:szCs w:val="20"/>
                <w:highlight w:val="yellow"/>
              </w:rPr>
            </w:pPr>
          </w:p>
        </w:tc>
      </w:tr>
      <w:tr w:rsidR="001C2D1D" w:rsidRPr="0063436F" w14:paraId="27DB1D67" w14:textId="77777777" w:rsidTr="7DF5A6EA">
        <w:trPr>
          <w:trHeight w:val="530"/>
          <w:tblHeader/>
        </w:trPr>
        <w:tc>
          <w:tcPr>
            <w:tcW w:w="1620" w:type="dxa"/>
            <w:vMerge w:val="restart"/>
          </w:tcPr>
          <w:p w14:paraId="142D7627" w14:textId="77777777" w:rsidR="001C2D1D" w:rsidRPr="003E3954" w:rsidRDefault="001C2D1D" w:rsidP="00710F87">
            <w:pPr>
              <w:spacing w:before="60"/>
              <w:jc w:val="left"/>
              <w:rPr>
                <w:b/>
                <w:sz w:val="20"/>
                <w:szCs w:val="20"/>
              </w:rPr>
            </w:pPr>
            <w:r w:rsidRPr="003E3954">
              <w:rPr>
                <w:b/>
                <w:sz w:val="20"/>
                <w:szCs w:val="20"/>
              </w:rPr>
              <w:t>Output 1</w:t>
            </w:r>
          </w:p>
          <w:p w14:paraId="2F1A7AE1" w14:textId="18AEE54B" w:rsidR="001C2D1D" w:rsidRPr="0063436F" w:rsidRDefault="007023C4" w:rsidP="00710F87">
            <w:pPr>
              <w:spacing w:before="60"/>
              <w:jc w:val="left"/>
              <w:rPr>
                <w:i/>
                <w:sz w:val="18"/>
                <w:szCs w:val="18"/>
                <w:highlight w:val="yellow"/>
              </w:rPr>
            </w:pPr>
            <w:r w:rsidRPr="007023C4">
              <w:rPr>
                <w:rFonts w:cs="Calibri"/>
                <w:bCs/>
                <w:sz w:val="18"/>
                <w:szCs w:val="18"/>
              </w:rPr>
              <w:t xml:space="preserve">Digital literacy of national government and vulnerable communities in Jordan are enhanced to build resilience and combat radicalization and </w:t>
            </w:r>
            <w:r w:rsidRPr="007023C4">
              <w:rPr>
                <w:rFonts w:cs="Calibri"/>
                <w:bCs/>
                <w:sz w:val="18"/>
                <w:szCs w:val="18"/>
              </w:rPr>
              <w:lastRenderedPageBreak/>
              <w:t xml:space="preserve">prevent extremism </w:t>
            </w:r>
          </w:p>
        </w:tc>
        <w:tc>
          <w:tcPr>
            <w:tcW w:w="3780" w:type="dxa"/>
          </w:tcPr>
          <w:p w14:paraId="25E8D2DF" w14:textId="7114DD60" w:rsidR="001C2D1D" w:rsidRPr="003E3954" w:rsidDel="00A84123" w:rsidRDefault="001C2D1D" w:rsidP="008E63BE">
            <w:pPr>
              <w:jc w:val="left"/>
              <w:rPr>
                <w:sz w:val="18"/>
                <w:szCs w:val="18"/>
              </w:rPr>
            </w:pPr>
            <w:r w:rsidRPr="003E3954">
              <w:rPr>
                <w:b/>
                <w:iCs/>
                <w:sz w:val="18"/>
                <w:szCs w:val="18"/>
              </w:rPr>
              <w:lastRenderedPageBreak/>
              <w:t>1.1.1:</w:t>
            </w:r>
            <w:r w:rsidRPr="003E3954">
              <w:rPr>
                <w:b/>
                <w:i/>
                <w:sz w:val="18"/>
                <w:szCs w:val="18"/>
              </w:rPr>
              <w:t xml:space="preserve"> </w:t>
            </w:r>
            <w:r w:rsidR="008E63BE">
              <w:rPr>
                <w:sz w:val="18"/>
                <w:szCs w:val="18"/>
              </w:rPr>
              <w:t>Number</w:t>
            </w:r>
            <w:r w:rsidR="008E63BE" w:rsidRPr="00A81F13">
              <w:rPr>
                <w:sz w:val="18"/>
                <w:szCs w:val="18"/>
              </w:rPr>
              <w:t xml:space="preserve"> of government institutions engaged in the development of the Government’s communication strategy for PV</w:t>
            </w:r>
            <w:r w:rsidR="008E63BE">
              <w:rPr>
                <w:sz w:val="18"/>
                <w:szCs w:val="18"/>
              </w:rPr>
              <w:t>E</w:t>
            </w:r>
          </w:p>
        </w:tc>
        <w:tc>
          <w:tcPr>
            <w:tcW w:w="1350" w:type="dxa"/>
          </w:tcPr>
          <w:p w14:paraId="6FEE7346" w14:textId="77777777" w:rsidR="001C2D1D" w:rsidRPr="003E3954" w:rsidDel="00A84123" w:rsidRDefault="001C2D1D" w:rsidP="00710F87">
            <w:pPr>
              <w:spacing w:before="60"/>
              <w:jc w:val="center"/>
              <w:rPr>
                <w:iCs/>
                <w:sz w:val="18"/>
                <w:szCs w:val="18"/>
              </w:rPr>
            </w:pPr>
            <w:r w:rsidRPr="003E3954">
              <w:rPr>
                <w:iCs/>
                <w:sz w:val="18"/>
                <w:szCs w:val="18"/>
              </w:rPr>
              <w:t>UNDP</w:t>
            </w:r>
          </w:p>
        </w:tc>
        <w:tc>
          <w:tcPr>
            <w:tcW w:w="1350" w:type="dxa"/>
            <w:shd w:val="clear" w:color="auto" w:fill="auto"/>
          </w:tcPr>
          <w:p w14:paraId="29C94276" w14:textId="341B48F6" w:rsidR="001C2D1D" w:rsidRPr="003E3954" w:rsidDel="00BD7C58" w:rsidRDefault="008E63BE" w:rsidP="00710F87">
            <w:pPr>
              <w:pStyle w:val="Header"/>
              <w:spacing w:before="60"/>
              <w:jc w:val="center"/>
              <w:rPr>
                <w:sz w:val="18"/>
                <w:szCs w:val="18"/>
              </w:rPr>
            </w:pPr>
            <w:r>
              <w:rPr>
                <w:sz w:val="18"/>
                <w:szCs w:val="18"/>
              </w:rPr>
              <w:t>0</w:t>
            </w:r>
          </w:p>
        </w:tc>
        <w:tc>
          <w:tcPr>
            <w:tcW w:w="720" w:type="dxa"/>
          </w:tcPr>
          <w:p w14:paraId="2907706D" w14:textId="44FC2197" w:rsidR="001C2D1D" w:rsidRPr="003E3954" w:rsidDel="00BD7C58" w:rsidRDefault="001C2D1D" w:rsidP="00710F87">
            <w:pPr>
              <w:pStyle w:val="Header"/>
              <w:spacing w:before="60"/>
              <w:jc w:val="center"/>
              <w:rPr>
                <w:sz w:val="18"/>
                <w:szCs w:val="18"/>
              </w:rPr>
            </w:pPr>
            <w:r w:rsidRPr="003E3954">
              <w:rPr>
                <w:sz w:val="18"/>
                <w:szCs w:val="18"/>
              </w:rPr>
              <w:t>20</w:t>
            </w:r>
            <w:r w:rsidR="008E63BE">
              <w:rPr>
                <w:sz w:val="18"/>
                <w:szCs w:val="18"/>
              </w:rPr>
              <w:t>20</w:t>
            </w:r>
          </w:p>
        </w:tc>
        <w:tc>
          <w:tcPr>
            <w:tcW w:w="1350" w:type="dxa"/>
          </w:tcPr>
          <w:p w14:paraId="1D70CAFC" w14:textId="022CFDF4" w:rsidR="001C2D1D" w:rsidRPr="003E3954" w:rsidDel="00BD7C58" w:rsidRDefault="008E63BE" w:rsidP="00710F87">
            <w:pPr>
              <w:pStyle w:val="Header"/>
              <w:spacing w:before="60"/>
              <w:jc w:val="center"/>
              <w:rPr>
                <w:sz w:val="18"/>
                <w:szCs w:val="18"/>
              </w:rPr>
            </w:pPr>
            <w:r>
              <w:rPr>
                <w:sz w:val="18"/>
                <w:szCs w:val="18"/>
              </w:rPr>
              <w:t>5</w:t>
            </w:r>
          </w:p>
        </w:tc>
        <w:tc>
          <w:tcPr>
            <w:tcW w:w="1350" w:type="dxa"/>
          </w:tcPr>
          <w:p w14:paraId="0B27E0AB" w14:textId="7B728656" w:rsidR="001C2D1D" w:rsidRPr="003E3954" w:rsidDel="00BD7C58" w:rsidRDefault="008E63BE" w:rsidP="00710F87">
            <w:pPr>
              <w:pStyle w:val="Header"/>
              <w:spacing w:before="60"/>
              <w:jc w:val="center"/>
              <w:rPr>
                <w:sz w:val="18"/>
                <w:szCs w:val="18"/>
              </w:rPr>
            </w:pPr>
            <w:r>
              <w:rPr>
                <w:sz w:val="18"/>
                <w:szCs w:val="18"/>
              </w:rPr>
              <w:t>0</w:t>
            </w:r>
          </w:p>
        </w:tc>
        <w:tc>
          <w:tcPr>
            <w:tcW w:w="1350" w:type="dxa"/>
          </w:tcPr>
          <w:p w14:paraId="13E2BFAA" w14:textId="06F9A41C" w:rsidR="001C2D1D" w:rsidRPr="003E3954" w:rsidDel="00BD7C58" w:rsidRDefault="008E63BE" w:rsidP="00710F87">
            <w:pPr>
              <w:spacing w:before="60"/>
              <w:jc w:val="center"/>
              <w:rPr>
                <w:iCs/>
                <w:sz w:val="18"/>
                <w:szCs w:val="18"/>
              </w:rPr>
            </w:pPr>
            <w:r>
              <w:rPr>
                <w:iCs/>
                <w:sz w:val="18"/>
                <w:szCs w:val="18"/>
              </w:rPr>
              <w:t>5</w:t>
            </w:r>
          </w:p>
        </w:tc>
        <w:tc>
          <w:tcPr>
            <w:tcW w:w="2137" w:type="dxa"/>
            <w:shd w:val="clear" w:color="auto" w:fill="auto"/>
          </w:tcPr>
          <w:p w14:paraId="7CDF916E" w14:textId="35E16265" w:rsidR="001C2D1D" w:rsidRPr="003E3954" w:rsidRDefault="008E63BE" w:rsidP="00710F87">
            <w:pPr>
              <w:spacing w:before="60"/>
              <w:jc w:val="left"/>
              <w:rPr>
                <w:iCs/>
                <w:sz w:val="18"/>
                <w:szCs w:val="18"/>
              </w:rPr>
            </w:pPr>
            <w:r>
              <w:rPr>
                <w:iCs/>
                <w:sz w:val="18"/>
                <w:szCs w:val="18"/>
              </w:rPr>
              <w:t>Project records</w:t>
            </w:r>
          </w:p>
        </w:tc>
      </w:tr>
      <w:tr w:rsidR="001C2D1D" w:rsidRPr="0063436F" w14:paraId="17A1B372" w14:textId="77777777" w:rsidTr="7DF5A6EA">
        <w:trPr>
          <w:trHeight w:val="530"/>
          <w:tblHeader/>
        </w:trPr>
        <w:tc>
          <w:tcPr>
            <w:tcW w:w="1620" w:type="dxa"/>
            <w:vMerge/>
          </w:tcPr>
          <w:p w14:paraId="1C03B663" w14:textId="77777777" w:rsidR="001C2D1D" w:rsidRPr="0063436F" w:rsidRDefault="001C2D1D" w:rsidP="00710F87">
            <w:pPr>
              <w:spacing w:before="60"/>
              <w:jc w:val="left"/>
              <w:rPr>
                <w:i/>
                <w:sz w:val="20"/>
                <w:szCs w:val="20"/>
                <w:highlight w:val="yellow"/>
              </w:rPr>
            </w:pPr>
          </w:p>
        </w:tc>
        <w:tc>
          <w:tcPr>
            <w:tcW w:w="3780" w:type="dxa"/>
            <w:shd w:val="clear" w:color="auto" w:fill="auto"/>
          </w:tcPr>
          <w:p w14:paraId="5578AFC2" w14:textId="6F2B8A63" w:rsidR="001C2D1D" w:rsidRPr="009D6C8E" w:rsidRDefault="001C2D1D" w:rsidP="008E63BE">
            <w:pPr>
              <w:pStyle w:val="Header"/>
              <w:spacing w:before="60"/>
              <w:rPr>
                <w:bCs/>
                <w:iCs/>
                <w:sz w:val="18"/>
                <w:szCs w:val="18"/>
              </w:rPr>
            </w:pPr>
            <w:r w:rsidRPr="009D6C8E">
              <w:rPr>
                <w:b/>
                <w:iCs/>
                <w:sz w:val="18"/>
                <w:szCs w:val="18"/>
              </w:rPr>
              <w:t>1.2</w:t>
            </w:r>
            <w:r w:rsidR="00487355">
              <w:rPr>
                <w:b/>
                <w:iCs/>
                <w:sz w:val="18"/>
                <w:szCs w:val="18"/>
              </w:rPr>
              <w:t>.1</w:t>
            </w:r>
            <w:r w:rsidRPr="009D6C8E">
              <w:rPr>
                <w:b/>
                <w:iCs/>
                <w:sz w:val="18"/>
                <w:szCs w:val="18"/>
              </w:rPr>
              <w:t>:</w:t>
            </w:r>
            <w:r w:rsidRPr="009D6C8E">
              <w:rPr>
                <w:b/>
                <w:i/>
                <w:sz w:val="18"/>
                <w:szCs w:val="18"/>
              </w:rPr>
              <w:t xml:space="preserve"> </w:t>
            </w:r>
            <w:r w:rsidR="008E63BE" w:rsidRPr="008E63BE">
              <w:rPr>
                <w:bCs/>
                <w:iCs/>
                <w:sz w:val="18"/>
                <w:szCs w:val="18"/>
              </w:rPr>
              <w:t xml:space="preserve">Number of government officials and students </w:t>
            </w:r>
            <w:r w:rsidR="0061671D">
              <w:rPr>
                <w:bCs/>
                <w:iCs/>
                <w:sz w:val="18"/>
                <w:szCs w:val="18"/>
              </w:rPr>
              <w:t xml:space="preserve">who </w:t>
            </w:r>
            <w:r w:rsidR="008E63BE" w:rsidRPr="008E63BE">
              <w:rPr>
                <w:bCs/>
                <w:iCs/>
                <w:sz w:val="18"/>
                <w:szCs w:val="18"/>
              </w:rPr>
              <w:t>participated in the capacity building training</w:t>
            </w:r>
            <w:r w:rsidR="008E63BE">
              <w:rPr>
                <w:bCs/>
                <w:iCs/>
                <w:sz w:val="18"/>
                <w:szCs w:val="18"/>
              </w:rPr>
              <w:t xml:space="preserve"> in the area of digital literacy</w:t>
            </w:r>
          </w:p>
        </w:tc>
        <w:tc>
          <w:tcPr>
            <w:tcW w:w="1350" w:type="dxa"/>
            <w:shd w:val="clear" w:color="auto" w:fill="auto"/>
          </w:tcPr>
          <w:p w14:paraId="11FB7D5F" w14:textId="77777777" w:rsidR="001C2D1D" w:rsidRPr="009D6C8E" w:rsidRDefault="001C2D1D" w:rsidP="00710F87">
            <w:pPr>
              <w:pStyle w:val="Header"/>
              <w:spacing w:before="60"/>
              <w:jc w:val="center"/>
              <w:rPr>
                <w:iCs/>
                <w:sz w:val="18"/>
                <w:szCs w:val="18"/>
              </w:rPr>
            </w:pPr>
            <w:r w:rsidRPr="009D6C8E">
              <w:rPr>
                <w:iCs/>
                <w:sz w:val="18"/>
                <w:szCs w:val="18"/>
              </w:rPr>
              <w:t>UNDP</w:t>
            </w:r>
          </w:p>
        </w:tc>
        <w:tc>
          <w:tcPr>
            <w:tcW w:w="1350" w:type="dxa"/>
            <w:shd w:val="clear" w:color="auto" w:fill="auto"/>
          </w:tcPr>
          <w:p w14:paraId="78055B75" w14:textId="227A605E" w:rsidR="001C2D1D" w:rsidRPr="009D6C8E" w:rsidRDefault="008E63BE" w:rsidP="00710F87">
            <w:pPr>
              <w:pStyle w:val="Header"/>
              <w:spacing w:before="60"/>
              <w:jc w:val="center"/>
              <w:rPr>
                <w:iCs/>
                <w:sz w:val="18"/>
                <w:szCs w:val="18"/>
              </w:rPr>
            </w:pPr>
            <w:r>
              <w:rPr>
                <w:iCs/>
                <w:sz w:val="18"/>
                <w:szCs w:val="18"/>
              </w:rPr>
              <w:t>0</w:t>
            </w:r>
          </w:p>
        </w:tc>
        <w:tc>
          <w:tcPr>
            <w:tcW w:w="720" w:type="dxa"/>
            <w:shd w:val="clear" w:color="auto" w:fill="auto"/>
          </w:tcPr>
          <w:p w14:paraId="00928F52" w14:textId="26EFCC1B" w:rsidR="001C2D1D" w:rsidRPr="009D6C8E" w:rsidRDefault="00FD0A75" w:rsidP="00710F87">
            <w:pPr>
              <w:pStyle w:val="Header"/>
              <w:spacing w:before="60"/>
              <w:jc w:val="center"/>
              <w:rPr>
                <w:iCs/>
                <w:sz w:val="18"/>
                <w:szCs w:val="18"/>
              </w:rPr>
            </w:pPr>
            <w:r>
              <w:rPr>
                <w:iCs/>
                <w:sz w:val="18"/>
                <w:szCs w:val="18"/>
              </w:rPr>
              <w:t>2020</w:t>
            </w:r>
          </w:p>
        </w:tc>
        <w:tc>
          <w:tcPr>
            <w:tcW w:w="1350" w:type="dxa"/>
            <w:shd w:val="clear" w:color="auto" w:fill="auto"/>
          </w:tcPr>
          <w:p w14:paraId="1190DAFD" w14:textId="6F9DD827" w:rsidR="001C2D1D" w:rsidRPr="009D6C8E" w:rsidRDefault="008E63BE" w:rsidP="00710F87">
            <w:pPr>
              <w:pStyle w:val="Header"/>
              <w:spacing w:before="60"/>
              <w:jc w:val="center"/>
              <w:rPr>
                <w:iCs/>
                <w:sz w:val="18"/>
                <w:szCs w:val="18"/>
              </w:rPr>
            </w:pPr>
            <w:r>
              <w:rPr>
                <w:iCs/>
                <w:sz w:val="18"/>
                <w:szCs w:val="18"/>
              </w:rPr>
              <w:t>40</w:t>
            </w:r>
          </w:p>
        </w:tc>
        <w:tc>
          <w:tcPr>
            <w:tcW w:w="1350" w:type="dxa"/>
            <w:shd w:val="clear" w:color="auto" w:fill="auto"/>
          </w:tcPr>
          <w:p w14:paraId="7D2DD71A" w14:textId="24C1D29B" w:rsidR="001C2D1D" w:rsidRPr="009D6C8E" w:rsidRDefault="008E63BE" w:rsidP="00710F87">
            <w:pPr>
              <w:pStyle w:val="Header"/>
              <w:spacing w:before="60"/>
              <w:jc w:val="center"/>
              <w:rPr>
                <w:iCs/>
                <w:sz w:val="18"/>
                <w:szCs w:val="18"/>
              </w:rPr>
            </w:pPr>
            <w:r>
              <w:rPr>
                <w:iCs/>
                <w:sz w:val="18"/>
                <w:szCs w:val="18"/>
              </w:rPr>
              <w:t>10</w:t>
            </w:r>
          </w:p>
        </w:tc>
        <w:tc>
          <w:tcPr>
            <w:tcW w:w="1350" w:type="dxa"/>
            <w:shd w:val="clear" w:color="auto" w:fill="auto"/>
          </w:tcPr>
          <w:p w14:paraId="62A1F8D1" w14:textId="20FA925E" w:rsidR="001C2D1D" w:rsidRPr="009D6C8E" w:rsidDel="00BD7C58" w:rsidRDefault="008E63BE" w:rsidP="00710F87">
            <w:pPr>
              <w:spacing w:before="60"/>
              <w:jc w:val="center"/>
              <w:rPr>
                <w:iCs/>
                <w:sz w:val="18"/>
                <w:szCs w:val="18"/>
              </w:rPr>
            </w:pPr>
            <w:r>
              <w:rPr>
                <w:iCs/>
                <w:sz w:val="18"/>
                <w:szCs w:val="18"/>
              </w:rPr>
              <w:t>50</w:t>
            </w:r>
          </w:p>
        </w:tc>
        <w:tc>
          <w:tcPr>
            <w:tcW w:w="2137" w:type="dxa"/>
            <w:shd w:val="clear" w:color="auto" w:fill="auto"/>
          </w:tcPr>
          <w:p w14:paraId="7AD34F9A" w14:textId="6C703D95" w:rsidR="001C2D1D" w:rsidRPr="009D6C8E" w:rsidDel="00BD7C58" w:rsidRDefault="008E63BE" w:rsidP="00710F87">
            <w:pPr>
              <w:spacing w:before="60"/>
              <w:jc w:val="left"/>
              <w:rPr>
                <w:iCs/>
                <w:sz w:val="18"/>
                <w:szCs w:val="18"/>
              </w:rPr>
            </w:pPr>
            <w:r>
              <w:rPr>
                <w:iCs/>
                <w:sz w:val="18"/>
                <w:szCs w:val="18"/>
              </w:rPr>
              <w:t>Project records</w:t>
            </w:r>
          </w:p>
        </w:tc>
      </w:tr>
      <w:tr w:rsidR="001C2D1D" w:rsidRPr="0063436F" w14:paraId="53D5F808" w14:textId="77777777" w:rsidTr="7DF5A6EA">
        <w:trPr>
          <w:trHeight w:val="530"/>
          <w:tblHeader/>
        </w:trPr>
        <w:tc>
          <w:tcPr>
            <w:tcW w:w="1620" w:type="dxa"/>
            <w:vMerge/>
          </w:tcPr>
          <w:p w14:paraId="03FDC368" w14:textId="77777777" w:rsidR="001C2D1D" w:rsidRPr="0063436F" w:rsidRDefault="001C2D1D" w:rsidP="00710F87">
            <w:pPr>
              <w:spacing w:before="60"/>
              <w:jc w:val="left"/>
              <w:rPr>
                <w:b/>
                <w:szCs w:val="22"/>
                <w:highlight w:val="yellow"/>
              </w:rPr>
            </w:pPr>
          </w:p>
        </w:tc>
        <w:tc>
          <w:tcPr>
            <w:tcW w:w="3780" w:type="dxa"/>
          </w:tcPr>
          <w:p w14:paraId="4D1F393D" w14:textId="5D9537BF" w:rsidR="00487355" w:rsidRPr="00487355" w:rsidRDefault="001C2D1D" w:rsidP="00487355">
            <w:pPr>
              <w:rPr>
                <w:bCs/>
                <w:iCs/>
                <w:sz w:val="18"/>
                <w:szCs w:val="18"/>
              </w:rPr>
            </w:pPr>
            <w:r w:rsidRPr="00910EDC">
              <w:rPr>
                <w:b/>
                <w:iCs/>
                <w:sz w:val="18"/>
                <w:szCs w:val="18"/>
              </w:rPr>
              <w:t>1.2.2:</w:t>
            </w:r>
            <w:r w:rsidRPr="00487355">
              <w:rPr>
                <w:bCs/>
                <w:iCs/>
                <w:sz w:val="18"/>
                <w:szCs w:val="18"/>
              </w:rPr>
              <w:t xml:space="preserve"> </w:t>
            </w:r>
            <w:r w:rsidR="00FA66B5">
              <w:rPr>
                <w:bCs/>
                <w:iCs/>
                <w:sz w:val="18"/>
                <w:szCs w:val="18"/>
              </w:rPr>
              <w:t xml:space="preserve">Level of understanding of </w:t>
            </w:r>
            <w:r w:rsidR="00487355" w:rsidRPr="00487355">
              <w:rPr>
                <w:bCs/>
                <w:iCs/>
                <w:sz w:val="18"/>
                <w:szCs w:val="18"/>
              </w:rPr>
              <w:t>the online recruitment of violent extremism and radicalization</w:t>
            </w:r>
          </w:p>
          <w:p w14:paraId="393E15D8" w14:textId="4A3F8287" w:rsidR="001C2D1D" w:rsidRPr="00910EDC" w:rsidRDefault="00487355" w:rsidP="00487355">
            <w:pPr>
              <w:rPr>
                <w:sz w:val="18"/>
                <w:szCs w:val="18"/>
              </w:rPr>
            </w:pPr>
            <w:r w:rsidRPr="00487355">
              <w:rPr>
                <w:bCs/>
                <w:iCs/>
                <w:sz w:val="18"/>
                <w:szCs w:val="18"/>
              </w:rPr>
              <w:t xml:space="preserve">BL: N/A     T: </w:t>
            </w:r>
            <w:r w:rsidR="00FA66B5">
              <w:rPr>
                <w:bCs/>
                <w:iCs/>
                <w:sz w:val="18"/>
                <w:szCs w:val="18"/>
              </w:rPr>
              <w:t>Increased</w:t>
            </w:r>
          </w:p>
        </w:tc>
        <w:tc>
          <w:tcPr>
            <w:tcW w:w="1350" w:type="dxa"/>
          </w:tcPr>
          <w:p w14:paraId="1DD8C7A1" w14:textId="77777777" w:rsidR="001C2D1D" w:rsidRPr="00910EDC" w:rsidRDefault="001C2D1D" w:rsidP="00710F87">
            <w:pPr>
              <w:spacing w:before="60"/>
              <w:jc w:val="center"/>
              <w:rPr>
                <w:bCs/>
                <w:iCs/>
                <w:sz w:val="18"/>
                <w:szCs w:val="18"/>
              </w:rPr>
            </w:pPr>
            <w:r w:rsidRPr="00910EDC">
              <w:rPr>
                <w:bCs/>
                <w:iCs/>
                <w:sz w:val="18"/>
                <w:szCs w:val="18"/>
              </w:rPr>
              <w:t>UNDP</w:t>
            </w:r>
          </w:p>
        </w:tc>
        <w:tc>
          <w:tcPr>
            <w:tcW w:w="1350" w:type="dxa"/>
            <w:shd w:val="clear" w:color="auto" w:fill="auto"/>
          </w:tcPr>
          <w:p w14:paraId="206F1BE5" w14:textId="6F25CB47" w:rsidR="001C2D1D" w:rsidRPr="00910EDC" w:rsidRDefault="000F5F43" w:rsidP="00710F87">
            <w:pPr>
              <w:pStyle w:val="Header"/>
              <w:tabs>
                <w:tab w:val="num" w:pos="432"/>
              </w:tabs>
              <w:spacing w:before="60"/>
              <w:jc w:val="center"/>
              <w:rPr>
                <w:sz w:val="18"/>
                <w:szCs w:val="18"/>
              </w:rPr>
            </w:pPr>
            <w:r>
              <w:rPr>
                <w:sz w:val="18"/>
                <w:szCs w:val="18"/>
              </w:rPr>
              <w:t>NA</w:t>
            </w:r>
          </w:p>
        </w:tc>
        <w:tc>
          <w:tcPr>
            <w:tcW w:w="720" w:type="dxa"/>
          </w:tcPr>
          <w:p w14:paraId="618DE0B4" w14:textId="551962D4" w:rsidR="001C2D1D" w:rsidRPr="00910EDC" w:rsidRDefault="001C2D1D" w:rsidP="00710F87">
            <w:pPr>
              <w:pStyle w:val="Header"/>
              <w:tabs>
                <w:tab w:val="num" w:pos="432"/>
              </w:tabs>
              <w:spacing w:before="60"/>
              <w:jc w:val="center"/>
              <w:rPr>
                <w:sz w:val="18"/>
                <w:szCs w:val="18"/>
              </w:rPr>
            </w:pPr>
            <w:r w:rsidRPr="00910EDC">
              <w:rPr>
                <w:sz w:val="18"/>
                <w:szCs w:val="18"/>
              </w:rPr>
              <w:t>20</w:t>
            </w:r>
            <w:r w:rsidR="00FD0A75">
              <w:rPr>
                <w:sz w:val="18"/>
                <w:szCs w:val="18"/>
              </w:rPr>
              <w:t>20</w:t>
            </w:r>
          </w:p>
        </w:tc>
        <w:tc>
          <w:tcPr>
            <w:tcW w:w="1350" w:type="dxa"/>
          </w:tcPr>
          <w:p w14:paraId="1AF2424B" w14:textId="17F44F84" w:rsidR="001C2D1D" w:rsidRPr="00910EDC" w:rsidRDefault="000F5F43" w:rsidP="00710F87">
            <w:pPr>
              <w:pStyle w:val="Header"/>
              <w:spacing w:before="60"/>
              <w:jc w:val="center"/>
              <w:rPr>
                <w:iCs/>
                <w:sz w:val="18"/>
                <w:szCs w:val="18"/>
              </w:rPr>
            </w:pPr>
            <w:r>
              <w:rPr>
                <w:iCs/>
                <w:sz w:val="18"/>
                <w:szCs w:val="18"/>
              </w:rPr>
              <w:t>NA</w:t>
            </w:r>
          </w:p>
        </w:tc>
        <w:tc>
          <w:tcPr>
            <w:tcW w:w="1350" w:type="dxa"/>
          </w:tcPr>
          <w:p w14:paraId="5AE5F61C" w14:textId="159077AA" w:rsidR="001C2D1D" w:rsidRPr="00910EDC" w:rsidRDefault="00FA66B5" w:rsidP="00710F87">
            <w:pPr>
              <w:pStyle w:val="Header"/>
              <w:spacing w:before="60"/>
              <w:jc w:val="center"/>
              <w:rPr>
                <w:iCs/>
                <w:sz w:val="18"/>
                <w:szCs w:val="18"/>
              </w:rPr>
            </w:pPr>
            <w:r>
              <w:rPr>
                <w:iCs/>
                <w:sz w:val="18"/>
                <w:szCs w:val="18"/>
              </w:rPr>
              <w:t>Increased</w:t>
            </w:r>
          </w:p>
        </w:tc>
        <w:tc>
          <w:tcPr>
            <w:tcW w:w="1350" w:type="dxa"/>
          </w:tcPr>
          <w:p w14:paraId="431F7939" w14:textId="624B6EE7" w:rsidR="001C2D1D" w:rsidRPr="00910EDC" w:rsidDel="00BD7C58" w:rsidRDefault="00FA66B5" w:rsidP="00710F87">
            <w:pPr>
              <w:spacing w:before="60"/>
              <w:jc w:val="center"/>
              <w:rPr>
                <w:iCs/>
                <w:sz w:val="18"/>
                <w:szCs w:val="18"/>
              </w:rPr>
            </w:pPr>
            <w:r>
              <w:rPr>
                <w:iCs/>
                <w:sz w:val="18"/>
                <w:szCs w:val="18"/>
              </w:rPr>
              <w:t>Increased</w:t>
            </w:r>
          </w:p>
        </w:tc>
        <w:tc>
          <w:tcPr>
            <w:tcW w:w="2137" w:type="dxa"/>
            <w:shd w:val="clear" w:color="auto" w:fill="auto"/>
          </w:tcPr>
          <w:p w14:paraId="297A4C83" w14:textId="64B2F134" w:rsidR="001C2D1D" w:rsidRPr="00910EDC" w:rsidRDefault="00487355" w:rsidP="00710F87">
            <w:pPr>
              <w:spacing w:before="60"/>
              <w:jc w:val="left"/>
              <w:rPr>
                <w:iCs/>
                <w:sz w:val="18"/>
                <w:szCs w:val="18"/>
              </w:rPr>
            </w:pPr>
            <w:r>
              <w:rPr>
                <w:iCs/>
                <w:sz w:val="18"/>
                <w:szCs w:val="18"/>
              </w:rPr>
              <w:t>Project records</w:t>
            </w:r>
          </w:p>
        </w:tc>
      </w:tr>
      <w:tr w:rsidR="001C2D1D" w:rsidRPr="0063436F" w14:paraId="4805DED9" w14:textId="77777777" w:rsidTr="7DF5A6EA">
        <w:trPr>
          <w:trHeight w:val="530"/>
          <w:tblHeader/>
        </w:trPr>
        <w:tc>
          <w:tcPr>
            <w:tcW w:w="1620" w:type="dxa"/>
            <w:vMerge/>
          </w:tcPr>
          <w:p w14:paraId="61C75514" w14:textId="77777777" w:rsidR="001C2D1D" w:rsidRPr="0063436F" w:rsidRDefault="001C2D1D" w:rsidP="00710F87">
            <w:pPr>
              <w:spacing w:before="60"/>
              <w:jc w:val="left"/>
              <w:rPr>
                <w:b/>
                <w:szCs w:val="22"/>
                <w:highlight w:val="yellow"/>
              </w:rPr>
            </w:pPr>
          </w:p>
        </w:tc>
        <w:tc>
          <w:tcPr>
            <w:tcW w:w="3780" w:type="dxa"/>
          </w:tcPr>
          <w:p w14:paraId="3717D441" w14:textId="0CCE8282" w:rsidR="001C2D1D" w:rsidRPr="00FD0A75" w:rsidRDefault="45C1B819" w:rsidP="7DF5A6EA">
            <w:pPr>
              <w:rPr>
                <w:sz w:val="18"/>
                <w:szCs w:val="18"/>
              </w:rPr>
            </w:pPr>
            <w:r w:rsidRPr="7DF5A6EA">
              <w:rPr>
                <w:b/>
                <w:bCs/>
                <w:sz w:val="18"/>
                <w:szCs w:val="18"/>
              </w:rPr>
              <w:t>1.3.1:</w:t>
            </w:r>
            <w:r w:rsidRPr="7DF5A6EA">
              <w:rPr>
                <w:b/>
                <w:bCs/>
                <w:i/>
                <w:iCs/>
                <w:sz w:val="18"/>
                <w:szCs w:val="18"/>
              </w:rPr>
              <w:t xml:space="preserve"> </w:t>
            </w:r>
            <w:r w:rsidRPr="7DF5A6EA">
              <w:rPr>
                <w:sz w:val="18"/>
                <w:szCs w:val="18"/>
              </w:rPr>
              <w:t xml:space="preserve">Number of youth and vulnerable men and women participated in </w:t>
            </w:r>
            <w:r w:rsidR="00FB5C29">
              <w:rPr>
                <w:sz w:val="18"/>
                <w:szCs w:val="18"/>
              </w:rPr>
              <w:t xml:space="preserve">digital </w:t>
            </w:r>
            <w:r w:rsidRPr="7DF5A6EA">
              <w:rPr>
                <w:sz w:val="18"/>
                <w:szCs w:val="18"/>
              </w:rPr>
              <w:t>literacy training</w:t>
            </w:r>
          </w:p>
        </w:tc>
        <w:tc>
          <w:tcPr>
            <w:tcW w:w="1350" w:type="dxa"/>
          </w:tcPr>
          <w:p w14:paraId="2836A259" w14:textId="77777777" w:rsidR="001C2D1D" w:rsidRPr="0093455A" w:rsidRDefault="001C2D1D" w:rsidP="00710F87">
            <w:pPr>
              <w:spacing w:before="60"/>
              <w:jc w:val="center"/>
              <w:rPr>
                <w:bCs/>
                <w:iCs/>
                <w:sz w:val="18"/>
                <w:szCs w:val="18"/>
              </w:rPr>
            </w:pPr>
            <w:r w:rsidRPr="0093455A">
              <w:rPr>
                <w:bCs/>
                <w:iCs/>
                <w:sz w:val="18"/>
                <w:szCs w:val="18"/>
              </w:rPr>
              <w:t>UNDP</w:t>
            </w:r>
          </w:p>
        </w:tc>
        <w:tc>
          <w:tcPr>
            <w:tcW w:w="1350" w:type="dxa"/>
            <w:shd w:val="clear" w:color="auto" w:fill="auto"/>
          </w:tcPr>
          <w:p w14:paraId="52FEF6EA" w14:textId="77777777" w:rsidR="001C2D1D" w:rsidRPr="0093455A" w:rsidRDefault="001C2D1D" w:rsidP="00710F87">
            <w:pPr>
              <w:pStyle w:val="Header"/>
              <w:tabs>
                <w:tab w:val="num" w:pos="432"/>
              </w:tabs>
              <w:spacing w:before="60"/>
              <w:jc w:val="center"/>
              <w:rPr>
                <w:sz w:val="18"/>
                <w:szCs w:val="18"/>
              </w:rPr>
            </w:pPr>
            <w:r w:rsidRPr="0093455A">
              <w:rPr>
                <w:sz w:val="18"/>
                <w:szCs w:val="18"/>
              </w:rPr>
              <w:t>0</w:t>
            </w:r>
          </w:p>
        </w:tc>
        <w:tc>
          <w:tcPr>
            <w:tcW w:w="720" w:type="dxa"/>
          </w:tcPr>
          <w:p w14:paraId="1A534CE5" w14:textId="0D272DF5" w:rsidR="001C2D1D" w:rsidRPr="0093455A" w:rsidRDefault="001C2D1D" w:rsidP="00710F87">
            <w:pPr>
              <w:pStyle w:val="Header"/>
              <w:tabs>
                <w:tab w:val="num" w:pos="432"/>
              </w:tabs>
              <w:spacing w:before="60"/>
              <w:jc w:val="center"/>
              <w:rPr>
                <w:sz w:val="18"/>
                <w:szCs w:val="18"/>
              </w:rPr>
            </w:pPr>
            <w:r w:rsidRPr="0093455A">
              <w:rPr>
                <w:sz w:val="18"/>
                <w:szCs w:val="18"/>
              </w:rPr>
              <w:t>20</w:t>
            </w:r>
            <w:r w:rsidR="00FD0A75">
              <w:rPr>
                <w:sz w:val="18"/>
                <w:szCs w:val="18"/>
              </w:rPr>
              <w:t>20</w:t>
            </w:r>
          </w:p>
        </w:tc>
        <w:tc>
          <w:tcPr>
            <w:tcW w:w="1350" w:type="dxa"/>
          </w:tcPr>
          <w:p w14:paraId="08B9B786" w14:textId="4D17E01E" w:rsidR="001C2D1D" w:rsidRPr="0093455A" w:rsidRDefault="45C1B819" w:rsidP="7DF5A6EA">
            <w:pPr>
              <w:pStyle w:val="Header"/>
              <w:spacing w:before="60"/>
              <w:jc w:val="center"/>
              <w:rPr>
                <w:sz w:val="18"/>
                <w:szCs w:val="18"/>
              </w:rPr>
            </w:pPr>
            <w:r w:rsidRPr="7DF5A6EA">
              <w:rPr>
                <w:sz w:val="18"/>
                <w:szCs w:val="18"/>
              </w:rPr>
              <w:t>80</w:t>
            </w:r>
          </w:p>
        </w:tc>
        <w:tc>
          <w:tcPr>
            <w:tcW w:w="1350" w:type="dxa"/>
          </w:tcPr>
          <w:p w14:paraId="57C24A59" w14:textId="75D1BF58" w:rsidR="001C2D1D" w:rsidRPr="0093455A" w:rsidRDefault="45C1B819" w:rsidP="7DF5A6EA">
            <w:pPr>
              <w:pStyle w:val="Header"/>
              <w:spacing w:before="60"/>
              <w:jc w:val="center"/>
              <w:rPr>
                <w:sz w:val="18"/>
                <w:szCs w:val="18"/>
              </w:rPr>
            </w:pPr>
            <w:r w:rsidRPr="7DF5A6EA">
              <w:rPr>
                <w:sz w:val="18"/>
                <w:szCs w:val="18"/>
              </w:rPr>
              <w:t>20</w:t>
            </w:r>
          </w:p>
        </w:tc>
        <w:tc>
          <w:tcPr>
            <w:tcW w:w="1350" w:type="dxa"/>
          </w:tcPr>
          <w:p w14:paraId="53AB1AC9" w14:textId="60D0D38B" w:rsidR="001C2D1D" w:rsidRPr="0093455A" w:rsidDel="00BD7C58" w:rsidRDefault="00FD0A75" w:rsidP="00710F87">
            <w:pPr>
              <w:spacing w:before="60"/>
              <w:jc w:val="center"/>
              <w:rPr>
                <w:iCs/>
                <w:sz w:val="18"/>
                <w:szCs w:val="18"/>
              </w:rPr>
            </w:pPr>
            <w:r>
              <w:rPr>
                <w:iCs/>
                <w:sz w:val="18"/>
                <w:szCs w:val="18"/>
              </w:rPr>
              <w:t>100</w:t>
            </w:r>
          </w:p>
        </w:tc>
        <w:tc>
          <w:tcPr>
            <w:tcW w:w="2137" w:type="dxa"/>
            <w:shd w:val="clear" w:color="auto" w:fill="auto"/>
          </w:tcPr>
          <w:p w14:paraId="662F84C8" w14:textId="77777777" w:rsidR="001C2D1D" w:rsidRPr="0093455A" w:rsidRDefault="001C2D1D" w:rsidP="00710F87">
            <w:pPr>
              <w:spacing w:before="60"/>
              <w:jc w:val="left"/>
              <w:rPr>
                <w:iCs/>
                <w:sz w:val="18"/>
                <w:szCs w:val="18"/>
              </w:rPr>
            </w:pPr>
            <w:r w:rsidRPr="0093455A">
              <w:rPr>
                <w:iCs/>
                <w:sz w:val="18"/>
                <w:szCs w:val="18"/>
              </w:rPr>
              <w:t>Project records</w:t>
            </w:r>
          </w:p>
        </w:tc>
      </w:tr>
      <w:tr w:rsidR="001C2D1D" w:rsidRPr="0063436F" w14:paraId="394D8AAF" w14:textId="77777777" w:rsidTr="7DF5A6EA">
        <w:trPr>
          <w:trHeight w:val="530"/>
          <w:tblHeader/>
        </w:trPr>
        <w:tc>
          <w:tcPr>
            <w:tcW w:w="1620" w:type="dxa"/>
            <w:vMerge w:val="restart"/>
          </w:tcPr>
          <w:p w14:paraId="7E5FC003" w14:textId="77777777" w:rsidR="00D9079D" w:rsidRDefault="001C2D1D" w:rsidP="00710F87">
            <w:pPr>
              <w:spacing w:before="60"/>
              <w:jc w:val="left"/>
              <w:rPr>
                <w:rFonts w:cs="Calibri"/>
                <w:b/>
                <w:sz w:val="20"/>
                <w:szCs w:val="20"/>
              </w:rPr>
            </w:pPr>
            <w:r w:rsidRPr="00D9079D">
              <w:rPr>
                <w:rFonts w:cs="Calibri"/>
                <w:b/>
                <w:sz w:val="20"/>
                <w:szCs w:val="20"/>
              </w:rPr>
              <w:t>Output 2</w:t>
            </w:r>
          </w:p>
          <w:p w14:paraId="2442FDC8" w14:textId="4CA20327" w:rsidR="001C2D1D" w:rsidRPr="00A45C2F" w:rsidRDefault="00D9079D" w:rsidP="00710F87">
            <w:pPr>
              <w:spacing w:before="60"/>
              <w:jc w:val="left"/>
              <w:rPr>
                <w:rFonts w:cs="Calibri"/>
                <w:bCs/>
                <w:sz w:val="18"/>
                <w:szCs w:val="18"/>
              </w:rPr>
            </w:pPr>
            <w:r w:rsidRPr="00D9079D">
              <w:rPr>
                <w:rFonts w:cs="Calibri"/>
                <w:bCs/>
                <w:sz w:val="18"/>
                <w:szCs w:val="18"/>
              </w:rPr>
              <w:t>Cities and communities become more resilient to crisis and social and community insecurities through enhanced community engagement and increased trust between communities and government authorities.</w:t>
            </w:r>
          </w:p>
        </w:tc>
        <w:tc>
          <w:tcPr>
            <w:tcW w:w="3780" w:type="dxa"/>
          </w:tcPr>
          <w:p w14:paraId="390E980E" w14:textId="30AD064F" w:rsidR="001C2D1D" w:rsidRPr="00E427AA" w:rsidDel="00A84123" w:rsidRDefault="001C2D1D" w:rsidP="007F1F3A">
            <w:pPr>
              <w:spacing w:before="60"/>
              <w:rPr>
                <w:bCs/>
                <w:iCs/>
                <w:sz w:val="18"/>
                <w:szCs w:val="18"/>
              </w:rPr>
            </w:pPr>
            <w:r w:rsidRPr="00E427AA">
              <w:rPr>
                <w:b/>
                <w:iCs/>
                <w:sz w:val="18"/>
                <w:szCs w:val="18"/>
              </w:rPr>
              <w:t>2.1.1:</w:t>
            </w:r>
            <w:r w:rsidRPr="00E427AA">
              <w:rPr>
                <w:bCs/>
                <w:iCs/>
                <w:sz w:val="18"/>
                <w:szCs w:val="18"/>
              </w:rPr>
              <w:t xml:space="preserve"> </w:t>
            </w:r>
            <w:r w:rsidR="007F1F3A" w:rsidRPr="007F1F3A">
              <w:rPr>
                <w:bCs/>
                <w:iCs/>
                <w:sz w:val="18"/>
                <w:szCs w:val="18"/>
              </w:rPr>
              <w:t>A community-level risk dashboard developed and fully operationalized</w:t>
            </w:r>
          </w:p>
        </w:tc>
        <w:tc>
          <w:tcPr>
            <w:tcW w:w="1350" w:type="dxa"/>
          </w:tcPr>
          <w:p w14:paraId="7FEC25FA" w14:textId="77777777" w:rsidR="001C2D1D" w:rsidRPr="00E427AA" w:rsidDel="00A84123" w:rsidRDefault="001C2D1D" w:rsidP="00710F87">
            <w:pPr>
              <w:spacing w:before="60"/>
              <w:jc w:val="center"/>
              <w:rPr>
                <w:iCs/>
                <w:sz w:val="18"/>
                <w:szCs w:val="18"/>
              </w:rPr>
            </w:pPr>
            <w:r w:rsidRPr="00E427AA">
              <w:rPr>
                <w:iCs/>
                <w:sz w:val="18"/>
                <w:szCs w:val="18"/>
              </w:rPr>
              <w:t>UNDP</w:t>
            </w:r>
          </w:p>
        </w:tc>
        <w:tc>
          <w:tcPr>
            <w:tcW w:w="1350" w:type="dxa"/>
            <w:shd w:val="clear" w:color="auto" w:fill="auto"/>
          </w:tcPr>
          <w:p w14:paraId="2179E04F" w14:textId="2216CF18" w:rsidR="001C2D1D" w:rsidRPr="00E427AA" w:rsidDel="00BD7C58" w:rsidRDefault="007F1F3A" w:rsidP="00710F87">
            <w:pPr>
              <w:pStyle w:val="Header"/>
              <w:spacing w:before="60"/>
              <w:jc w:val="center"/>
              <w:rPr>
                <w:sz w:val="18"/>
                <w:szCs w:val="18"/>
              </w:rPr>
            </w:pPr>
            <w:r>
              <w:rPr>
                <w:sz w:val="18"/>
                <w:szCs w:val="18"/>
              </w:rPr>
              <w:t>No</w:t>
            </w:r>
          </w:p>
        </w:tc>
        <w:tc>
          <w:tcPr>
            <w:tcW w:w="720" w:type="dxa"/>
          </w:tcPr>
          <w:p w14:paraId="5B9EED2C" w14:textId="49988364" w:rsidR="001C2D1D" w:rsidRPr="00E427AA" w:rsidDel="00BD7C58" w:rsidRDefault="007F1F3A" w:rsidP="00710F87">
            <w:pPr>
              <w:pStyle w:val="Header"/>
              <w:spacing w:before="60"/>
              <w:jc w:val="center"/>
              <w:rPr>
                <w:sz w:val="18"/>
                <w:szCs w:val="18"/>
              </w:rPr>
            </w:pPr>
            <w:r>
              <w:rPr>
                <w:sz w:val="18"/>
                <w:szCs w:val="18"/>
              </w:rPr>
              <w:t>2020</w:t>
            </w:r>
          </w:p>
        </w:tc>
        <w:tc>
          <w:tcPr>
            <w:tcW w:w="1350" w:type="dxa"/>
          </w:tcPr>
          <w:p w14:paraId="7AFD8CD8" w14:textId="77777777" w:rsidR="001C2D1D" w:rsidRPr="00E427AA" w:rsidDel="00BD7C58" w:rsidRDefault="00B13558" w:rsidP="00710F87">
            <w:pPr>
              <w:pStyle w:val="Header"/>
              <w:spacing w:before="60"/>
              <w:jc w:val="center"/>
              <w:rPr>
                <w:sz w:val="18"/>
                <w:szCs w:val="18"/>
              </w:rPr>
            </w:pPr>
            <w:r>
              <w:rPr>
                <w:sz w:val="18"/>
                <w:szCs w:val="18"/>
              </w:rPr>
              <w:t>Yes</w:t>
            </w:r>
          </w:p>
        </w:tc>
        <w:tc>
          <w:tcPr>
            <w:tcW w:w="1350" w:type="dxa"/>
          </w:tcPr>
          <w:p w14:paraId="6C112ED4" w14:textId="6D9074E2" w:rsidR="001C2D1D" w:rsidRPr="00E427AA" w:rsidDel="00BD7C58" w:rsidRDefault="007F1F3A" w:rsidP="00710F87">
            <w:pPr>
              <w:pStyle w:val="Header"/>
              <w:spacing w:before="60"/>
              <w:jc w:val="center"/>
              <w:rPr>
                <w:sz w:val="18"/>
                <w:szCs w:val="18"/>
              </w:rPr>
            </w:pPr>
            <w:r>
              <w:rPr>
                <w:sz w:val="18"/>
                <w:szCs w:val="18"/>
              </w:rPr>
              <w:t>Yes</w:t>
            </w:r>
          </w:p>
        </w:tc>
        <w:tc>
          <w:tcPr>
            <w:tcW w:w="1350" w:type="dxa"/>
          </w:tcPr>
          <w:p w14:paraId="6A3E7EAA" w14:textId="77777777" w:rsidR="001C2D1D" w:rsidRPr="00E427AA" w:rsidDel="00BD7C58" w:rsidRDefault="00B13558" w:rsidP="00710F87">
            <w:pPr>
              <w:spacing w:before="60"/>
              <w:jc w:val="center"/>
              <w:rPr>
                <w:iCs/>
                <w:sz w:val="18"/>
                <w:szCs w:val="18"/>
              </w:rPr>
            </w:pPr>
            <w:r>
              <w:rPr>
                <w:iCs/>
                <w:sz w:val="18"/>
                <w:szCs w:val="18"/>
              </w:rPr>
              <w:t>Yes</w:t>
            </w:r>
          </w:p>
        </w:tc>
        <w:tc>
          <w:tcPr>
            <w:tcW w:w="2137" w:type="dxa"/>
            <w:shd w:val="clear" w:color="auto" w:fill="auto"/>
          </w:tcPr>
          <w:p w14:paraId="7A8E1F23" w14:textId="77777777" w:rsidR="001C2D1D" w:rsidRPr="00E427AA" w:rsidRDefault="001C2D1D" w:rsidP="00710F87">
            <w:pPr>
              <w:spacing w:before="60"/>
              <w:jc w:val="left"/>
              <w:rPr>
                <w:iCs/>
                <w:sz w:val="18"/>
                <w:szCs w:val="18"/>
              </w:rPr>
            </w:pPr>
            <w:r w:rsidRPr="00E427AA">
              <w:rPr>
                <w:iCs/>
                <w:sz w:val="18"/>
                <w:szCs w:val="18"/>
              </w:rPr>
              <w:t>Project records</w:t>
            </w:r>
          </w:p>
        </w:tc>
      </w:tr>
      <w:tr w:rsidR="00B314B1" w:rsidRPr="0063436F" w14:paraId="0BF64CD1" w14:textId="77777777" w:rsidTr="7DF5A6EA">
        <w:trPr>
          <w:trHeight w:val="530"/>
          <w:tblHeader/>
        </w:trPr>
        <w:tc>
          <w:tcPr>
            <w:tcW w:w="1620" w:type="dxa"/>
            <w:vMerge/>
          </w:tcPr>
          <w:p w14:paraId="6ECE36E9" w14:textId="77777777" w:rsidR="00B314B1" w:rsidRPr="0063436F" w:rsidRDefault="00B314B1" w:rsidP="00B314B1">
            <w:pPr>
              <w:spacing w:before="60"/>
              <w:jc w:val="left"/>
              <w:rPr>
                <w:i/>
                <w:sz w:val="20"/>
                <w:szCs w:val="20"/>
                <w:highlight w:val="yellow"/>
              </w:rPr>
            </w:pPr>
          </w:p>
        </w:tc>
        <w:tc>
          <w:tcPr>
            <w:tcW w:w="3780" w:type="dxa"/>
          </w:tcPr>
          <w:p w14:paraId="781D7297" w14:textId="0A328732" w:rsidR="00B314B1" w:rsidRPr="007236AE" w:rsidRDefault="692CAB7B" w:rsidP="7DF5A6EA">
            <w:pPr>
              <w:rPr>
                <w:sz w:val="18"/>
                <w:szCs w:val="18"/>
              </w:rPr>
            </w:pPr>
            <w:r w:rsidRPr="7DF5A6EA">
              <w:rPr>
                <w:b/>
                <w:bCs/>
                <w:sz w:val="18"/>
                <w:szCs w:val="18"/>
              </w:rPr>
              <w:t>2.1.2:</w:t>
            </w:r>
            <w:r w:rsidRPr="7DF5A6EA">
              <w:rPr>
                <w:b/>
                <w:bCs/>
                <w:i/>
                <w:iCs/>
                <w:sz w:val="18"/>
                <w:szCs w:val="18"/>
              </w:rPr>
              <w:t xml:space="preserve"> </w:t>
            </w:r>
            <w:r w:rsidR="5746C230" w:rsidRPr="7DF5A6EA">
              <w:rPr>
                <w:sz w:val="18"/>
                <w:szCs w:val="18"/>
              </w:rPr>
              <w:t>2.2 Community-level risks and vulnerabilities are identified and assessed</w:t>
            </w:r>
          </w:p>
        </w:tc>
        <w:tc>
          <w:tcPr>
            <w:tcW w:w="1350" w:type="dxa"/>
          </w:tcPr>
          <w:p w14:paraId="1CC20511" w14:textId="77777777" w:rsidR="00B314B1" w:rsidRPr="007236AE" w:rsidRDefault="00B314B1" w:rsidP="00B314B1">
            <w:pPr>
              <w:pStyle w:val="Header"/>
              <w:spacing w:before="60"/>
              <w:jc w:val="center"/>
              <w:rPr>
                <w:iCs/>
                <w:sz w:val="18"/>
                <w:szCs w:val="18"/>
              </w:rPr>
            </w:pPr>
            <w:r w:rsidRPr="007236AE">
              <w:rPr>
                <w:iCs/>
                <w:sz w:val="18"/>
                <w:szCs w:val="18"/>
              </w:rPr>
              <w:t>UNDP</w:t>
            </w:r>
          </w:p>
        </w:tc>
        <w:tc>
          <w:tcPr>
            <w:tcW w:w="1350" w:type="dxa"/>
            <w:shd w:val="clear" w:color="auto" w:fill="auto"/>
          </w:tcPr>
          <w:p w14:paraId="5A491A8A" w14:textId="68180C93" w:rsidR="00B314B1" w:rsidRPr="007236AE" w:rsidRDefault="000E6A6B" w:rsidP="00B314B1">
            <w:pPr>
              <w:pStyle w:val="Header"/>
              <w:spacing w:before="60"/>
              <w:jc w:val="center"/>
              <w:rPr>
                <w:iCs/>
                <w:sz w:val="18"/>
                <w:szCs w:val="18"/>
              </w:rPr>
            </w:pPr>
            <w:r>
              <w:rPr>
                <w:iCs/>
                <w:sz w:val="18"/>
                <w:szCs w:val="18"/>
              </w:rPr>
              <w:t>No</w:t>
            </w:r>
          </w:p>
        </w:tc>
        <w:tc>
          <w:tcPr>
            <w:tcW w:w="720" w:type="dxa"/>
          </w:tcPr>
          <w:p w14:paraId="418C1745" w14:textId="1116C053" w:rsidR="00B314B1" w:rsidRPr="007236AE" w:rsidRDefault="000E6A6B" w:rsidP="00B314B1">
            <w:pPr>
              <w:pStyle w:val="Header"/>
              <w:spacing w:before="60"/>
              <w:jc w:val="center"/>
              <w:rPr>
                <w:iCs/>
                <w:sz w:val="18"/>
                <w:szCs w:val="18"/>
              </w:rPr>
            </w:pPr>
            <w:r>
              <w:rPr>
                <w:iCs/>
                <w:sz w:val="18"/>
                <w:szCs w:val="18"/>
              </w:rPr>
              <w:t>2020</w:t>
            </w:r>
          </w:p>
        </w:tc>
        <w:tc>
          <w:tcPr>
            <w:tcW w:w="1350" w:type="dxa"/>
          </w:tcPr>
          <w:p w14:paraId="36658490" w14:textId="489CF1B5" w:rsidR="00B314B1" w:rsidRPr="007236AE" w:rsidRDefault="000E6A6B" w:rsidP="00B314B1">
            <w:pPr>
              <w:pStyle w:val="Header"/>
              <w:spacing w:before="60"/>
              <w:jc w:val="center"/>
              <w:rPr>
                <w:iCs/>
                <w:sz w:val="18"/>
                <w:szCs w:val="18"/>
              </w:rPr>
            </w:pPr>
            <w:r>
              <w:rPr>
                <w:iCs/>
                <w:sz w:val="18"/>
                <w:szCs w:val="18"/>
              </w:rPr>
              <w:t>Yes</w:t>
            </w:r>
          </w:p>
        </w:tc>
        <w:tc>
          <w:tcPr>
            <w:tcW w:w="1350" w:type="dxa"/>
          </w:tcPr>
          <w:p w14:paraId="6F9B61A0" w14:textId="6C6A6313" w:rsidR="00B314B1" w:rsidRPr="007236AE" w:rsidRDefault="000E6A6B" w:rsidP="00B314B1">
            <w:pPr>
              <w:pStyle w:val="Header"/>
              <w:spacing w:before="60"/>
              <w:jc w:val="center"/>
              <w:rPr>
                <w:iCs/>
                <w:sz w:val="18"/>
                <w:szCs w:val="18"/>
              </w:rPr>
            </w:pPr>
            <w:r>
              <w:rPr>
                <w:iCs/>
                <w:sz w:val="18"/>
                <w:szCs w:val="18"/>
              </w:rPr>
              <w:t>Yes</w:t>
            </w:r>
          </w:p>
        </w:tc>
        <w:tc>
          <w:tcPr>
            <w:tcW w:w="1350" w:type="dxa"/>
          </w:tcPr>
          <w:p w14:paraId="36FD24BF" w14:textId="55A1EE1F" w:rsidR="00B314B1" w:rsidRPr="007236AE" w:rsidDel="00BD7C58" w:rsidRDefault="000E6A6B" w:rsidP="00B314B1">
            <w:pPr>
              <w:spacing w:before="60"/>
              <w:jc w:val="center"/>
              <w:rPr>
                <w:iCs/>
                <w:sz w:val="18"/>
                <w:szCs w:val="18"/>
              </w:rPr>
            </w:pPr>
            <w:r>
              <w:rPr>
                <w:iCs/>
                <w:sz w:val="18"/>
                <w:szCs w:val="18"/>
              </w:rPr>
              <w:t>Yes</w:t>
            </w:r>
          </w:p>
        </w:tc>
        <w:tc>
          <w:tcPr>
            <w:tcW w:w="2137" w:type="dxa"/>
            <w:shd w:val="clear" w:color="auto" w:fill="auto"/>
          </w:tcPr>
          <w:p w14:paraId="28778356" w14:textId="77777777" w:rsidR="00B314B1" w:rsidRPr="00E427AA" w:rsidRDefault="00B314B1" w:rsidP="00B314B1">
            <w:pPr>
              <w:spacing w:before="60"/>
              <w:jc w:val="left"/>
              <w:rPr>
                <w:iCs/>
                <w:sz w:val="18"/>
                <w:szCs w:val="18"/>
              </w:rPr>
            </w:pPr>
            <w:r w:rsidRPr="00E427AA">
              <w:rPr>
                <w:iCs/>
                <w:sz w:val="18"/>
                <w:szCs w:val="18"/>
              </w:rPr>
              <w:t>Project records</w:t>
            </w:r>
          </w:p>
        </w:tc>
      </w:tr>
      <w:tr w:rsidR="00B13558" w:rsidRPr="0063436F" w14:paraId="3D5812D2" w14:textId="77777777" w:rsidTr="7DF5A6EA">
        <w:trPr>
          <w:trHeight w:val="530"/>
          <w:tblHeader/>
        </w:trPr>
        <w:tc>
          <w:tcPr>
            <w:tcW w:w="1620" w:type="dxa"/>
            <w:vMerge/>
          </w:tcPr>
          <w:p w14:paraId="02EDA7D9" w14:textId="77777777" w:rsidR="00B13558" w:rsidRPr="0063436F" w:rsidRDefault="00B13558" w:rsidP="00B13558">
            <w:pPr>
              <w:spacing w:before="60"/>
              <w:jc w:val="left"/>
              <w:rPr>
                <w:i/>
                <w:sz w:val="20"/>
                <w:szCs w:val="20"/>
                <w:highlight w:val="yellow"/>
              </w:rPr>
            </w:pPr>
          </w:p>
        </w:tc>
        <w:tc>
          <w:tcPr>
            <w:tcW w:w="3780" w:type="dxa"/>
          </w:tcPr>
          <w:p w14:paraId="724CF2F7" w14:textId="1F0314B4" w:rsidR="00B13558" w:rsidRPr="00F73999" w:rsidRDefault="00B13558" w:rsidP="000E6A6B">
            <w:pPr>
              <w:spacing w:before="60"/>
              <w:rPr>
                <w:bCs/>
                <w:iCs/>
                <w:sz w:val="18"/>
                <w:szCs w:val="18"/>
              </w:rPr>
            </w:pPr>
            <w:r w:rsidRPr="00F73999">
              <w:rPr>
                <w:b/>
                <w:iCs/>
                <w:sz w:val="18"/>
                <w:szCs w:val="18"/>
              </w:rPr>
              <w:t>2.</w:t>
            </w:r>
            <w:r>
              <w:rPr>
                <w:b/>
                <w:iCs/>
                <w:sz w:val="18"/>
                <w:szCs w:val="18"/>
              </w:rPr>
              <w:t>2.</w:t>
            </w:r>
            <w:r w:rsidRPr="00F73999">
              <w:rPr>
                <w:b/>
                <w:iCs/>
                <w:sz w:val="18"/>
                <w:szCs w:val="18"/>
              </w:rPr>
              <w:t>1:</w:t>
            </w:r>
            <w:r w:rsidRPr="00F73999">
              <w:rPr>
                <w:bCs/>
                <w:iCs/>
                <w:sz w:val="18"/>
                <w:szCs w:val="18"/>
              </w:rPr>
              <w:t xml:space="preserve"> </w:t>
            </w:r>
            <w:r w:rsidR="000E6A6B" w:rsidRPr="000E6A6B">
              <w:rPr>
                <w:bCs/>
                <w:iCs/>
                <w:sz w:val="18"/>
                <w:szCs w:val="18"/>
              </w:rPr>
              <w:t>Number of municipal government officials received capacity building training in community engagement and participation</w:t>
            </w:r>
            <w:r w:rsidR="00FB5C29">
              <w:rPr>
                <w:bCs/>
                <w:iCs/>
                <w:sz w:val="18"/>
                <w:szCs w:val="18"/>
              </w:rPr>
              <w:t>, disaggregated by sex</w:t>
            </w:r>
          </w:p>
        </w:tc>
        <w:tc>
          <w:tcPr>
            <w:tcW w:w="1350" w:type="dxa"/>
          </w:tcPr>
          <w:p w14:paraId="0D11E459" w14:textId="77777777" w:rsidR="00B13558" w:rsidRPr="00F73999" w:rsidRDefault="00B13558" w:rsidP="00B13558">
            <w:pPr>
              <w:pStyle w:val="Header"/>
              <w:spacing w:before="60"/>
              <w:jc w:val="center"/>
              <w:rPr>
                <w:iCs/>
                <w:sz w:val="18"/>
                <w:szCs w:val="18"/>
              </w:rPr>
            </w:pPr>
            <w:r w:rsidRPr="00F73999">
              <w:rPr>
                <w:iCs/>
                <w:sz w:val="18"/>
                <w:szCs w:val="18"/>
              </w:rPr>
              <w:t>UNDP</w:t>
            </w:r>
          </w:p>
        </w:tc>
        <w:tc>
          <w:tcPr>
            <w:tcW w:w="1350" w:type="dxa"/>
            <w:shd w:val="clear" w:color="auto" w:fill="auto"/>
          </w:tcPr>
          <w:p w14:paraId="0271E30F" w14:textId="4F2CD709" w:rsidR="00B13558" w:rsidRPr="00F73999" w:rsidRDefault="000E6A6B" w:rsidP="00B13558">
            <w:pPr>
              <w:pStyle w:val="Header"/>
              <w:spacing w:before="60"/>
              <w:jc w:val="center"/>
              <w:rPr>
                <w:iCs/>
                <w:sz w:val="18"/>
                <w:szCs w:val="18"/>
              </w:rPr>
            </w:pPr>
            <w:r>
              <w:rPr>
                <w:iCs/>
                <w:sz w:val="18"/>
                <w:szCs w:val="18"/>
              </w:rPr>
              <w:t>0</w:t>
            </w:r>
          </w:p>
        </w:tc>
        <w:tc>
          <w:tcPr>
            <w:tcW w:w="720" w:type="dxa"/>
          </w:tcPr>
          <w:p w14:paraId="662056D1" w14:textId="1E1C8CA7" w:rsidR="00B13558" w:rsidRPr="00F73999" w:rsidRDefault="000E6A6B" w:rsidP="00B13558">
            <w:pPr>
              <w:pStyle w:val="Header"/>
              <w:spacing w:before="60"/>
              <w:jc w:val="center"/>
              <w:rPr>
                <w:iCs/>
                <w:sz w:val="18"/>
                <w:szCs w:val="18"/>
              </w:rPr>
            </w:pPr>
            <w:r>
              <w:rPr>
                <w:iCs/>
                <w:sz w:val="18"/>
                <w:szCs w:val="18"/>
              </w:rPr>
              <w:t>2020</w:t>
            </w:r>
          </w:p>
        </w:tc>
        <w:tc>
          <w:tcPr>
            <w:tcW w:w="1350" w:type="dxa"/>
          </w:tcPr>
          <w:p w14:paraId="01AF7BC1" w14:textId="4D7568AD" w:rsidR="00B13558" w:rsidRPr="00F73999" w:rsidRDefault="5746C230" w:rsidP="7DF5A6EA">
            <w:pPr>
              <w:pStyle w:val="Header"/>
              <w:spacing w:before="60"/>
              <w:jc w:val="center"/>
              <w:rPr>
                <w:sz w:val="18"/>
                <w:szCs w:val="18"/>
              </w:rPr>
            </w:pPr>
            <w:r w:rsidRPr="7DF5A6EA">
              <w:rPr>
                <w:sz w:val="18"/>
                <w:szCs w:val="18"/>
              </w:rPr>
              <w:t>10</w:t>
            </w:r>
          </w:p>
        </w:tc>
        <w:tc>
          <w:tcPr>
            <w:tcW w:w="1350" w:type="dxa"/>
          </w:tcPr>
          <w:p w14:paraId="442B4DD7" w14:textId="36AAC3E8" w:rsidR="00B13558" w:rsidRPr="00F73999" w:rsidRDefault="5746C230" w:rsidP="7DF5A6EA">
            <w:pPr>
              <w:pStyle w:val="Header"/>
              <w:spacing w:before="60"/>
              <w:jc w:val="center"/>
              <w:rPr>
                <w:sz w:val="18"/>
                <w:szCs w:val="18"/>
              </w:rPr>
            </w:pPr>
            <w:r w:rsidRPr="7DF5A6EA">
              <w:rPr>
                <w:sz w:val="18"/>
                <w:szCs w:val="18"/>
              </w:rPr>
              <w:t>10</w:t>
            </w:r>
          </w:p>
        </w:tc>
        <w:tc>
          <w:tcPr>
            <w:tcW w:w="1350" w:type="dxa"/>
          </w:tcPr>
          <w:p w14:paraId="4C5609D3" w14:textId="585F8260" w:rsidR="00B13558" w:rsidRPr="00F73999" w:rsidRDefault="000E6A6B" w:rsidP="00B13558">
            <w:pPr>
              <w:pStyle w:val="Header"/>
              <w:spacing w:before="60"/>
              <w:jc w:val="center"/>
              <w:rPr>
                <w:iCs/>
                <w:sz w:val="18"/>
                <w:szCs w:val="18"/>
              </w:rPr>
            </w:pPr>
            <w:r>
              <w:rPr>
                <w:iCs/>
                <w:sz w:val="18"/>
                <w:szCs w:val="18"/>
              </w:rPr>
              <w:t>20</w:t>
            </w:r>
          </w:p>
        </w:tc>
        <w:tc>
          <w:tcPr>
            <w:tcW w:w="2137" w:type="dxa"/>
            <w:shd w:val="clear" w:color="auto" w:fill="auto"/>
          </w:tcPr>
          <w:p w14:paraId="1BC3B088" w14:textId="77777777" w:rsidR="00B13558" w:rsidRPr="00E427AA" w:rsidRDefault="00B13558" w:rsidP="00B13558">
            <w:pPr>
              <w:spacing w:before="60"/>
              <w:jc w:val="left"/>
              <w:rPr>
                <w:iCs/>
                <w:sz w:val="18"/>
                <w:szCs w:val="18"/>
              </w:rPr>
            </w:pPr>
            <w:r w:rsidRPr="00E427AA">
              <w:rPr>
                <w:iCs/>
                <w:sz w:val="18"/>
                <w:szCs w:val="18"/>
              </w:rPr>
              <w:t>Project records</w:t>
            </w:r>
          </w:p>
        </w:tc>
      </w:tr>
      <w:tr w:rsidR="00583217" w:rsidRPr="0063436F" w14:paraId="4CEE2999" w14:textId="77777777" w:rsidTr="7DF5A6EA">
        <w:trPr>
          <w:trHeight w:val="530"/>
          <w:tblHeader/>
        </w:trPr>
        <w:tc>
          <w:tcPr>
            <w:tcW w:w="1620" w:type="dxa"/>
            <w:vMerge/>
          </w:tcPr>
          <w:p w14:paraId="76D6CBB7" w14:textId="77777777" w:rsidR="00583217" w:rsidRPr="0063436F" w:rsidRDefault="00583217" w:rsidP="00583217">
            <w:pPr>
              <w:spacing w:before="60"/>
              <w:jc w:val="left"/>
              <w:rPr>
                <w:i/>
                <w:sz w:val="20"/>
                <w:szCs w:val="20"/>
                <w:highlight w:val="yellow"/>
              </w:rPr>
            </w:pPr>
          </w:p>
        </w:tc>
        <w:tc>
          <w:tcPr>
            <w:tcW w:w="3780" w:type="dxa"/>
          </w:tcPr>
          <w:p w14:paraId="29522BFC" w14:textId="1FA8FDA6" w:rsidR="00583217" w:rsidRPr="00507A81" w:rsidRDefault="00583217" w:rsidP="000E6A6B">
            <w:pPr>
              <w:rPr>
                <w:bCs/>
                <w:sz w:val="18"/>
                <w:szCs w:val="18"/>
              </w:rPr>
            </w:pPr>
            <w:r w:rsidRPr="00507A81">
              <w:rPr>
                <w:b/>
                <w:iCs/>
                <w:sz w:val="18"/>
                <w:szCs w:val="18"/>
              </w:rPr>
              <w:t>2.2.2:</w:t>
            </w:r>
            <w:r w:rsidRPr="00507A81">
              <w:rPr>
                <w:bCs/>
                <w:iCs/>
                <w:sz w:val="18"/>
                <w:szCs w:val="18"/>
              </w:rPr>
              <w:t xml:space="preserve"> </w:t>
            </w:r>
            <w:r w:rsidR="000E6A6B" w:rsidRPr="000E6A6B">
              <w:rPr>
                <w:bCs/>
                <w:sz w:val="18"/>
                <w:szCs w:val="18"/>
              </w:rPr>
              <w:t>Number of municipalities organized community dialogue sessions and/or invited community members in decision-making as part of participatory planning</w:t>
            </w:r>
          </w:p>
        </w:tc>
        <w:tc>
          <w:tcPr>
            <w:tcW w:w="1350" w:type="dxa"/>
          </w:tcPr>
          <w:p w14:paraId="506E29CE" w14:textId="77777777" w:rsidR="00583217" w:rsidRPr="00507A81" w:rsidRDefault="00583217" w:rsidP="00583217">
            <w:pPr>
              <w:pStyle w:val="Header"/>
              <w:spacing w:before="60"/>
              <w:jc w:val="center"/>
              <w:rPr>
                <w:iCs/>
                <w:sz w:val="18"/>
                <w:szCs w:val="18"/>
              </w:rPr>
            </w:pPr>
            <w:r w:rsidRPr="00507A81">
              <w:rPr>
                <w:iCs/>
                <w:sz w:val="18"/>
                <w:szCs w:val="18"/>
              </w:rPr>
              <w:t>UNDP</w:t>
            </w:r>
          </w:p>
        </w:tc>
        <w:tc>
          <w:tcPr>
            <w:tcW w:w="1350" w:type="dxa"/>
            <w:shd w:val="clear" w:color="auto" w:fill="auto"/>
          </w:tcPr>
          <w:p w14:paraId="2D4693B6" w14:textId="77777777" w:rsidR="00583217" w:rsidRPr="00507A81" w:rsidRDefault="00583217" w:rsidP="00583217">
            <w:pPr>
              <w:pStyle w:val="Header"/>
              <w:spacing w:before="60"/>
              <w:jc w:val="center"/>
              <w:rPr>
                <w:iCs/>
                <w:sz w:val="18"/>
                <w:szCs w:val="18"/>
              </w:rPr>
            </w:pPr>
            <w:r w:rsidRPr="00507A81">
              <w:rPr>
                <w:iCs/>
                <w:sz w:val="18"/>
                <w:szCs w:val="18"/>
              </w:rPr>
              <w:t>0</w:t>
            </w:r>
          </w:p>
        </w:tc>
        <w:tc>
          <w:tcPr>
            <w:tcW w:w="720" w:type="dxa"/>
          </w:tcPr>
          <w:p w14:paraId="079D78B9" w14:textId="33C334B9" w:rsidR="00583217" w:rsidRPr="00507A81" w:rsidRDefault="00583217" w:rsidP="00583217">
            <w:pPr>
              <w:pStyle w:val="Header"/>
              <w:spacing w:before="60"/>
              <w:jc w:val="center"/>
              <w:rPr>
                <w:iCs/>
                <w:sz w:val="18"/>
                <w:szCs w:val="18"/>
              </w:rPr>
            </w:pPr>
            <w:r w:rsidRPr="00FB596C">
              <w:rPr>
                <w:iCs/>
                <w:sz w:val="18"/>
                <w:szCs w:val="18"/>
              </w:rPr>
              <w:t>20</w:t>
            </w:r>
            <w:r w:rsidR="000E6A6B">
              <w:rPr>
                <w:iCs/>
                <w:sz w:val="18"/>
                <w:szCs w:val="18"/>
              </w:rPr>
              <w:t>20</w:t>
            </w:r>
          </w:p>
        </w:tc>
        <w:tc>
          <w:tcPr>
            <w:tcW w:w="1350" w:type="dxa"/>
          </w:tcPr>
          <w:p w14:paraId="3F2D0F3F" w14:textId="1F5A9056" w:rsidR="00583217" w:rsidRPr="00507A81" w:rsidRDefault="000E6A6B" w:rsidP="00583217">
            <w:pPr>
              <w:pStyle w:val="Header"/>
              <w:spacing w:before="60"/>
              <w:jc w:val="center"/>
              <w:rPr>
                <w:iCs/>
                <w:sz w:val="18"/>
                <w:szCs w:val="18"/>
              </w:rPr>
            </w:pPr>
            <w:r>
              <w:rPr>
                <w:iCs/>
                <w:sz w:val="18"/>
                <w:szCs w:val="18"/>
              </w:rPr>
              <w:t>5</w:t>
            </w:r>
          </w:p>
        </w:tc>
        <w:tc>
          <w:tcPr>
            <w:tcW w:w="1350" w:type="dxa"/>
          </w:tcPr>
          <w:p w14:paraId="3EAECD03" w14:textId="77777777" w:rsidR="00583217" w:rsidRPr="00507A81" w:rsidRDefault="00583217" w:rsidP="00583217">
            <w:pPr>
              <w:pStyle w:val="Header"/>
              <w:spacing w:before="60"/>
              <w:jc w:val="center"/>
              <w:rPr>
                <w:iCs/>
                <w:sz w:val="18"/>
                <w:szCs w:val="18"/>
              </w:rPr>
            </w:pPr>
            <w:r>
              <w:rPr>
                <w:iCs/>
                <w:sz w:val="18"/>
                <w:szCs w:val="18"/>
              </w:rPr>
              <w:t>0</w:t>
            </w:r>
          </w:p>
        </w:tc>
        <w:tc>
          <w:tcPr>
            <w:tcW w:w="1350" w:type="dxa"/>
          </w:tcPr>
          <w:p w14:paraId="52FBBFDC" w14:textId="2C81773B" w:rsidR="00583217" w:rsidRPr="00507A81" w:rsidDel="00BD7C58" w:rsidRDefault="000E6A6B" w:rsidP="00583217">
            <w:pPr>
              <w:spacing w:before="60"/>
              <w:jc w:val="center"/>
              <w:rPr>
                <w:iCs/>
                <w:sz w:val="18"/>
                <w:szCs w:val="18"/>
              </w:rPr>
            </w:pPr>
            <w:r>
              <w:rPr>
                <w:iCs/>
                <w:sz w:val="18"/>
                <w:szCs w:val="18"/>
              </w:rPr>
              <w:t>5</w:t>
            </w:r>
          </w:p>
        </w:tc>
        <w:tc>
          <w:tcPr>
            <w:tcW w:w="2137" w:type="dxa"/>
            <w:shd w:val="clear" w:color="auto" w:fill="auto"/>
          </w:tcPr>
          <w:p w14:paraId="1EFC379C" w14:textId="5E9C62F4" w:rsidR="00583217" w:rsidRPr="00E427AA" w:rsidRDefault="00A92879" w:rsidP="00583217">
            <w:pPr>
              <w:spacing w:before="60"/>
              <w:jc w:val="left"/>
              <w:rPr>
                <w:iCs/>
                <w:sz w:val="18"/>
                <w:szCs w:val="18"/>
              </w:rPr>
            </w:pPr>
            <w:r>
              <w:rPr>
                <w:iCs/>
                <w:sz w:val="18"/>
                <w:szCs w:val="18"/>
              </w:rPr>
              <w:t>Survey</w:t>
            </w:r>
          </w:p>
        </w:tc>
      </w:tr>
      <w:tr w:rsidR="00583217" w:rsidRPr="0063436F" w14:paraId="074CB87C" w14:textId="77777777" w:rsidTr="7DF5A6EA">
        <w:trPr>
          <w:trHeight w:val="530"/>
          <w:tblHeader/>
        </w:trPr>
        <w:tc>
          <w:tcPr>
            <w:tcW w:w="1620" w:type="dxa"/>
            <w:vMerge/>
          </w:tcPr>
          <w:p w14:paraId="67BEA8D3" w14:textId="77777777" w:rsidR="00583217" w:rsidRPr="0063436F" w:rsidRDefault="00583217" w:rsidP="00583217">
            <w:pPr>
              <w:spacing w:before="60"/>
              <w:jc w:val="left"/>
              <w:rPr>
                <w:i/>
                <w:sz w:val="20"/>
                <w:szCs w:val="20"/>
                <w:highlight w:val="yellow"/>
              </w:rPr>
            </w:pPr>
          </w:p>
        </w:tc>
        <w:tc>
          <w:tcPr>
            <w:tcW w:w="3780" w:type="dxa"/>
          </w:tcPr>
          <w:p w14:paraId="185F831E" w14:textId="56D7A4EB" w:rsidR="00583217" w:rsidRPr="00F3796A" w:rsidRDefault="00583217" w:rsidP="00F3796A">
            <w:pPr>
              <w:rPr>
                <w:bCs/>
                <w:iCs/>
                <w:sz w:val="18"/>
                <w:szCs w:val="18"/>
              </w:rPr>
            </w:pPr>
            <w:r w:rsidRPr="00507A81">
              <w:rPr>
                <w:b/>
                <w:iCs/>
                <w:sz w:val="18"/>
                <w:szCs w:val="18"/>
              </w:rPr>
              <w:t>2.</w:t>
            </w:r>
            <w:r>
              <w:rPr>
                <w:b/>
                <w:iCs/>
                <w:sz w:val="18"/>
                <w:szCs w:val="18"/>
              </w:rPr>
              <w:t>3</w:t>
            </w:r>
            <w:r w:rsidR="00A92879">
              <w:rPr>
                <w:b/>
                <w:iCs/>
                <w:sz w:val="18"/>
                <w:szCs w:val="18"/>
              </w:rPr>
              <w:t>.1</w:t>
            </w:r>
            <w:r w:rsidRPr="00507A81">
              <w:rPr>
                <w:b/>
                <w:iCs/>
                <w:sz w:val="18"/>
                <w:szCs w:val="18"/>
              </w:rPr>
              <w:t>:</w:t>
            </w:r>
            <w:r w:rsidRPr="00507A81">
              <w:rPr>
                <w:bCs/>
                <w:iCs/>
                <w:sz w:val="18"/>
                <w:szCs w:val="18"/>
              </w:rPr>
              <w:t xml:space="preserve"> </w:t>
            </w:r>
            <w:r w:rsidR="00A92879" w:rsidRPr="00A92879">
              <w:rPr>
                <w:bCs/>
                <w:iCs/>
                <w:sz w:val="18"/>
                <w:szCs w:val="18"/>
              </w:rPr>
              <w:t>A COVID-19 community-based initiative repository established</w:t>
            </w:r>
          </w:p>
        </w:tc>
        <w:tc>
          <w:tcPr>
            <w:tcW w:w="1350" w:type="dxa"/>
          </w:tcPr>
          <w:p w14:paraId="2335CEEC" w14:textId="77777777" w:rsidR="00583217" w:rsidRPr="00507A81" w:rsidRDefault="00583217" w:rsidP="00583217">
            <w:pPr>
              <w:pStyle w:val="Header"/>
              <w:spacing w:before="60"/>
              <w:jc w:val="center"/>
              <w:rPr>
                <w:iCs/>
                <w:sz w:val="18"/>
                <w:szCs w:val="18"/>
              </w:rPr>
            </w:pPr>
            <w:r>
              <w:rPr>
                <w:iCs/>
                <w:sz w:val="18"/>
                <w:szCs w:val="18"/>
              </w:rPr>
              <w:t>UNDP</w:t>
            </w:r>
          </w:p>
        </w:tc>
        <w:tc>
          <w:tcPr>
            <w:tcW w:w="1350" w:type="dxa"/>
            <w:shd w:val="clear" w:color="auto" w:fill="auto"/>
          </w:tcPr>
          <w:p w14:paraId="624FEFFA" w14:textId="11FEC21F" w:rsidR="00583217" w:rsidRPr="00507A81" w:rsidRDefault="00A92879" w:rsidP="00583217">
            <w:pPr>
              <w:pStyle w:val="Header"/>
              <w:spacing w:before="60"/>
              <w:jc w:val="center"/>
              <w:rPr>
                <w:iCs/>
                <w:sz w:val="18"/>
                <w:szCs w:val="18"/>
              </w:rPr>
            </w:pPr>
            <w:r>
              <w:rPr>
                <w:iCs/>
                <w:sz w:val="18"/>
                <w:szCs w:val="18"/>
              </w:rPr>
              <w:t>No</w:t>
            </w:r>
          </w:p>
        </w:tc>
        <w:tc>
          <w:tcPr>
            <w:tcW w:w="720" w:type="dxa"/>
          </w:tcPr>
          <w:p w14:paraId="2FB62529" w14:textId="7012225F" w:rsidR="00583217" w:rsidRPr="00FB596C" w:rsidRDefault="00583217" w:rsidP="00583217">
            <w:pPr>
              <w:pStyle w:val="Header"/>
              <w:spacing w:before="60"/>
              <w:jc w:val="center"/>
              <w:rPr>
                <w:iCs/>
                <w:sz w:val="18"/>
                <w:szCs w:val="18"/>
              </w:rPr>
            </w:pPr>
            <w:r>
              <w:rPr>
                <w:iCs/>
                <w:sz w:val="18"/>
                <w:szCs w:val="18"/>
              </w:rPr>
              <w:t>20</w:t>
            </w:r>
            <w:r w:rsidR="00A92879">
              <w:rPr>
                <w:iCs/>
                <w:sz w:val="18"/>
                <w:szCs w:val="18"/>
              </w:rPr>
              <w:t>20</w:t>
            </w:r>
          </w:p>
        </w:tc>
        <w:tc>
          <w:tcPr>
            <w:tcW w:w="1350" w:type="dxa"/>
          </w:tcPr>
          <w:p w14:paraId="79BC597A" w14:textId="4C99F8B4" w:rsidR="00583217" w:rsidRDefault="00A92879" w:rsidP="00583217">
            <w:pPr>
              <w:pStyle w:val="Header"/>
              <w:spacing w:before="60"/>
              <w:jc w:val="center"/>
              <w:rPr>
                <w:iCs/>
                <w:sz w:val="18"/>
                <w:szCs w:val="18"/>
              </w:rPr>
            </w:pPr>
            <w:r>
              <w:rPr>
                <w:iCs/>
                <w:sz w:val="18"/>
                <w:szCs w:val="18"/>
              </w:rPr>
              <w:t>Yes</w:t>
            </w:r>
          </w:p>
        </w:tc>
        <w:tc>
          <w:tcPr>
            <w:tcW w:w="1350" w:type="dxa"/>
          </w:tcPr>
          <w:p w14:paraId="49C19761" w14:textId="1F1178B2" w:rsidR="00583217" w:rsidRDefault="00A92879" w:rsidP="00583217">
            <w:pPr>
              <w:pStyle w:val="Header"/>
              <w:spacing w:before="60"/>
              <w:jc w:val="center"/>
              <w:rPr>
                <w:iCs/>
                <w:sz w:val="18"/>
                <w:szCs w:val="18"/>
              </w:rPr>
            </w:pPr>
            <w:r>
              <w:rPr>
                <w:iCs/>
                <w:sz w:val="18"/>
                <w:szCs w:val="18"/>
              </w:rPr>
              <w:t>Yes</w:t>
            </w:r>
          </w:p>
        </w:tc>
        <w:tc>
          <w:tcPr>
            <w:tcW w:w="1350" w:type="dxa"/>
          </w:tcPr>
          <w:p w14:paraId="22D93A09" w14:textId="6BAB0BC7" w:rsidR="00583217" w:rsidRDefault="00A92879" w:rsidP="00583217">
            <w:pPr>
              <w:spacing w:before="60"/>
              <w:jc w:val="center"/>
              <w:rPr>
                <w:iCs/>
                <w:sz w:val="18"/>
                <w:szCs w:val="18"/>
              </w:rPr>
            </w:pPr>
            <w:r>
              <w:rPr>
                <w:iCs/>
                <w:sz w:val="18"/>
                <w:szCs w:val="18"/>
              </w:rPr>
              <w:t>Yes</w:t>
            </w:r>
          </w:p>
        </w:tc>
        <w:tc>
          <w:tcPr>
            <w:tcW w:w="2137" w:type="dxa"/>
            <w:shd w:val="clear" w:color="auto" w:fill="auto"/>
          </w:tcPr>
          <w:p w14:paraId="02941DED" w14:textId="77777777" w:rsidR="00583217" w:rsidRPr="00E427AA" w:rsidRDefault="00583217" w:rsidP="00583217">
            <w:pPr>
              <w:spacing w:before="60"/>
              <w:jc w:val="left"/>
              <w:rPr>
                <w:iCs/>
                <w:sz w:val="18"/>
                <w:szCs w:val="18"/>
              </w:rPr>
            </w:pPr>
            <w:r w:rsidRPr="00E427AA">
              <w:rPr>
                <w:iCs/>
                <w:sz w:val="18"/>
                <w:szCs w:val="18"/>
              </w:rPr>
              <w:t>Project records</w:t>
            </w:r>
          </w:p>
        </w:tc>
      </w:tr>
      <w:tr w:rsidR="00AA0520" w:rsidRPr="0063436F" w14:paraId="39170F1D" w14:textId="77777777" w:rsidTr="7DF5A6EA">
        <w:trPr>
          <w:trHeight w:val="530"/>
          <w:tblHeader/>
        </w:trPr>
        <w:tc>
          <w:tcPr>
            <w:tcW w:w="1620" w:type="dxa"/>
            <w:vMerge/>
          </w:tcPr>
          <w:p w14:paraId="3E11952B" w14:textId="77777777" w:rsidR="00AA0520" w:rsidRPr="0063436F" w:rsidRDefault="00AA0520" w:rsidP="00AA0520">
            <w:pPr>
              <w:spacing w:before="60"/>
              <w:jc w:val="left"/>
              <w:rPr>
                <w:i/>
                <w:sz w:val="20"/>
                <w:szCs w:val="20"/>
                <w:highlight w:val="yellow"/>
              </w:rPr>
            </w:pPr>
          </w:p>
        </w:tc>
        <w:tc>
          <w:tcPr>
            <w:tcW w:w="3780" w:type="dxa"/>
          </w:tcPr>
          <w:p w14:paraId="43945BFA" w14:textId="1D448995" w:rsidR="00AA0520" w:rsidRPr="00FB596C" w:rsidRDefault="2B2E4FF4" w:rsidP="7DF5A6EA">
            <w:pPr>
              <w:rPr>
                <w:sz w:val="18"/>
                <w:szCs w:val="18"/>
              </w:rPr>
            </w:pPr>
            <w:r w:rsidRPr="7DF5A6EA">
              <w:rPr>
                <w:b/>
                <w:bCs/>
                <w:sz w:val="18"/>
                <w:szCs w:val="18"/>
              </w:rPr>
              <w:t>2.3.2</w:t>
            </w:r>
            <w:r w:rsidR="7FCF19D1" w:rsidRPr="7DF5A6EA">
              <w:rPr>
                <w:b/>
                <w:bCs/>
                <w:sz w:val="18"/>
                <w:szCs w:val="18"/>
              </w:rPr>
              <w:t>:</w:t>
            </w:r>
            <w:r w:rsidRPr="7DF5A6EA">
              <w:rPr>
                <w:sz w:val="18"/>
                <w:szCs w:val="18"/>
              </w:rPr>
              <w:t xml:space="preserve"> </w:t>
            </w:r>
            <w:r w:rsidR="7FCF19D1" w:rsidRPr="7DF5A6EA">
              <w:rPr>
                <w:sz w:val="18"/>
                <w:szCs w:val="18"/>
              </w:rPr>
              <w:t xml:space="preserve">Number of community-based initiatives </w:t>
            </w:r>
            <w:r w:rsidR="2B89021A" w:rsidRPr="7DF5A6EA">
              <w:rPr>
                <w:sz w:val="18"/>
                <w:szCs w:val="18"/>
              </w:rPr>
              <w:t xml:space="preserve">designed and </w:t>
            </w:r>
            <w:r w:rsidR="7FCF19D1" w:rsidRPr="7DF5A6EA">
              <w:rPr>
                <w:sz w:val="18"/>
                <w:szCs w:val="18"/>
              </w:rPr>
              <w:t>developed to mitigate the socio-economic impact of COVID-19</w:t>
            </w:r>
          </w:p>
        </w:tc>
        <w:tc>
          <w:tcPr>
            <w:tcW w:w="1350" w:type="dxa"/>
          </w:tcPr>
          <w:p w14:paraId="2D9958FE" w14:textId="77777777" w:rsidR="00AA0520" w:rsidRPr="00FB596C" w:rsidRDefault="00AA0520" w:rsidP="00AA0520">
            <w:pPr>
              <w:pStyle w:val="Header"/>
              <w:spacing w:before="60"/>
              <w:jc w:val="center"/>
              <w:rPr>
                <w:iCs/>
                <w:sz w:val="18"/>
                <w:szCs w:val="18"/>
              </w:rPr>
            </w:pPr>
            <w:r>
              <w:rPr>
                <w:iCs/>
                <w:sz w:val="18"/>
                <w:szCs w:val="18"/>
              </w:rPr>
              <w:t>UNDP</w:t>
            </w:r>
          </w:p>
        </w:tc>
        <w:tc>
          <w:tcPr>
            <w:tcW w:w="1350" w:type="dxa"/>
            <w:shd w:val="clear" w:color="auto" w:fill="auto"/>
          </w:tcPr>
          <w:p w14:paraId="6EF7D393" w14:textId="77777777" w:rsidR="00AA0520" w:rsidRPr="00FB596C" w:rsidRDefault="00AA0520" w:rsidP="00AA0520">
            <w:pPr>
              <w:pStyle w:val="Header"/>
              <w:spacing w:before="60"/>
              <w:jc w:val="center"/>
              <w:rPr>
                <w:iCs/>
                <w:sz w:val="18"/>
                <w:szCs w:val="18"/>
              </w:rPr>
            </w:pPr>
            <w:r>
              <w:rPr>
                <w:iCs/>
                <w:sz w:val="18"/>
                <w:szCs w:val="18"/>
              </w:rPr>
              <w:t>0</w:t>
            </w:r>
          </w:p>
        </w:tc>
        <w:tc>
          <w:tcPr>
            <w:tcW w:w="720" w:type="dxa"/>
          </w:tcPr>
          <w:p w14:paraId="347C9D4C" w14:textId="3B94F9F6" w:rsidR="00AA0520" w:rsidRPr="00FB596C" w:rsidRDefault="00AA0520" w:rsidP="00AA0520">
            <w:pPr>
              <w:pStyle w:val="Header"/>
              <w:spacing w:before="60"/>
              <w:jc w:val="center"/>
              <w:rPr>
                <w:iCs/>
                <w:sz w:val="18"/>
                <w:szCs w:val="18"/>
              </w:rPr>
            </w:pPr>
            <w:r>
              <w:rPr>
                <w:iCs/>
                <w:sz w:val="18"/>
                <w:szCs w:val="18"/>
              </w:rPr>
              <w:t>20</w:t>
            </w:r>
            <w:r w:rsidR="00A03B91">
              <w:rPr>
                <w:iCs/>
                <w:sz w:val="18"/>
                <w:szCs w:val="18"/>
              </w:rPr>
              <w:t>20</w:t>
            </w:r>
          </w:p>
        </w:tc>
        <w:tc>
          <w:tcPr>
            <w:tcW w:w="1350" w:type="dxa"/>
          </w:tcPr>
          <w:p w14:paraId="2BAB3FDB" w14:textId="21E3B613" w:rsidR="00AA0520" w:rsidRDefault="00A03B91" w:rsidP="00AA0520">
            <w:pPr>
              <w:pStyle w:val="Header"/>
              <w:spacing w:before="60"/>
              <w:jc w:val="center"/>
              <w:rPr>
                <w:iCs/>
                <w:sz w:val="18"/>
                <w:szCs w:val="18"/>
              </w:rPr>
            </w:pPr>
            <w:r>
              <w:rPr>
                <w:iCs/>
                <w:sz w:val="18"/>
                <w:szCs w:val="18"/>
              </w:rPr>
              <w:t>10</w:t>
            </w:r>
          </w:p>
        </w:tc>
        <w:tc>
          <w:tcPr>
            <w:tcW w:w="1350" w:type="dxa"/>
          </w:tcPr>
          <w:p w14:paraId="63BD86D4" w14:textId="421E57FF" w:rsidR="00AA0520" w:rsidRDefault="00A03B91" w:rsidP="00AA0520">
            <w:pPr>
              <w:pStyle w:val="Header"/>
              <w:spacing w:before="60"/>
              <w:jc w:val="center"/>
              <w:rPr>
                <w:iCs/>
                <w:sz w:val="18"/>
                <w:szCs w:val="18"/>
              </w:rPr>
            </w:pPr>
            <w:r>
              <w:rPr>
                <w:iCs/>
                <w:sz w:val="18"/>
                <w:szCs w:val="18"/>
              </w:rPr>
              <w:t>5</w:t>
            </w:r>
          </w:p>
        </w:tc>
        <w:tc>
          <w:tcPr>
            <w:tcW w:w="1350" w:type="dxa"/>
          </w:tcPr>
          <w:p w14:paraId="78EA5DC9" w14:textId="177866EA" w:rsidR="00AA0520" w:rsidRDefault="00A03B91" w:rsidP="00AA0520">
            <w:pPr>
              <w:spacing w:before="60"/>
              <w:jc w:val="center"/>
              <w:rPr>
                <w:iCs/>
                <w:sz w:val="18"/>
                <w:szCs w:val="18"/>
              </w:rPr>
            </w:pPr>
            <w:r>
              <w:rPr>
                <w:iCs/>
                <w:sz w:val="18"/>
                <w:szCs w:val="18"/>
              </w:rPr>
              <w:t>15</w:t>
            </w:r>
          </w:p>
        </w:tc>
        <w:tc>
          <w:tcPr>
            <w:tcW w:w="2137" w:type="dxa"/>
            <w:shd w:val="clear" w:color="auto" w:fill="auto"/>
          </w:tcPr>
          <w:p w14:paraId="521CE201" w14:textId="77777777" w:rsidR="00AA0520" w:rsidRPr="00FB596C" w:rsidRDefault="00AA0520" w:rsidP="00AA0520">
            <w:pPr>
              <w:spacing w:before="60"/>
              <w:jc w:val="left"/>
              <w:rPr>
                <w:iCs/>
                <w:sz w:val="18"/>
                <w:szCs w:val="18"/>
              </w:rPr>
            </w:pPr>
            <w:r>
              <w:rPr>
                <w:iCs/>
                <w:sz w:val="18"/>
                <w:szCs w:val="18"/>
              </w:rPr>
              <w:t>Project records</w:t>
            </w:r>
          </w:p>
        </w:tc>
      </w:tr>
      <w:tr w:rsidR="00AA0520" w:rsidRPr="0063436F" w14:paraId="536E9FFF" w14:textId="77777777" w:rsidTr="7DF5A6EA">
        <w:trPr>
          <w:trHeight w:val="530"/>
          <w:tblHeader/>
        </w:trPr>
        <w:tc>
          <w:tcPr>
            <w:tcW w:w="1620" w:type="dxa"/>
            <w:vMerge/>
          </w:tcPr>
          <w:p w14:paraId="44ABA1B4" w14:textId="77777777" w:rsidR="00AA0520" w:rsidRPr="0063436F" w:rsidRDefault="00AA0520" w:rsidP="00AA0520">
            <w:pPr>
              <w:spacing w:before="60"/>
              <w:jc w:val="left"/>
              <w:rPr>
                <w:i/>
                <w:sz w:val="20"/>
                <w:szCs w:val="20"/>
                <w:highlight w:val="yellow"/>
              </w:rPr>
            </w:pPr>
          </w:p>
        </w:tc>
        <w:tc>
          <w:tcPr>
            <w:tcW w:w="3780" w:type="dxa"/>
          </w:tcPr>
          <w:p w14:paraId="07674BE3" w14:textId="0C9C951F" w:rsidR="00AA0520" w:rsidRPr="00FB596C" w:rsidRDefault="2B2E4FF4" w:rsidP="7DF5A6EA">
            <w:pPr>
              <w:rPr>
                <w:sz w:val="18"/>
                <w:szCs w:val="18"/>
              </w:rPr>
            </w:pPr>
            <w:r w:rsidRPr="7DF5A6EA">
              <w:rPr>
                <w:b/>
                <w:bCs/>
                <w:sz w:val="18"/>
                <w:szCs w:val="18"/>
              </w:rPr>
              <w:t>2.3.3:</w:t>
            </w:r>
            <w:r w:rsidRPr="7DF5A6EA">
              <w:rPr>
                <w:sz w:val="18"/>
                <w:szCs w:val="18"/>
              </w:rPr>
              <w:t xml:space="preserve"> </w:t>
            </w:r>
            <w:r w:rsidR="2B89021A" w:rsidRPr="7DF5A6EA">
              <w:rPr>
                <w:sz w:val="18"/>
                <w:szCs w:val="18"/>
              </w:rPr>
              <w:t xml:space="preserve">Number of community-based initiatives </w:t>
            </w:r>
            <w:r w:rsidR="00FB5C29">
              <w:rPr>
                <w:sz w:val="18"/>
                <w:szCs w:val="18"/>
              </w:rPr>
              <w:t xml:space="preserve">that focus on gender vulnerabilities are </w:t>
            </w:r>
            <w:r w:rsidR="2B89021A" w:rsidRPr="7DF5A6EA">
              <w:rPr>
                <w:sz w:val="18"/>
                <w:szCs w:val="18"/>
              </w:rPr>
              <w:t>implemented</w:t>
            </w:r>
          </w:p>
        </w:tc>
        <w:tc>
          <w:tcPr>
            <w:tcW w:w="1350" w:type="dxa"/>
          </w:tcPr>
          <w:p w14:paraId="20D7009C" w14:textId="77777777" w:rsidR="00AA0520" w:rsidRPr="00FB596C" w:rsidRDefault="00AA0520" w:rsidP="00AA0520">
            <w:pPr>
              <w:pStyle w:val="Header"/>
              <w:spacing w:before="60"/>
              <w:jc w:val="center"/>
              <w:rPr>
                <w:iCs/>
                <w:sz w:val="18"/>
                <w:szCs w:val="18"/>
              </w:rPr>
            </w:pPr>
            <w:r>
              <w:rPr>
                <w:iCs/>
                <w:sz w:val="18"/>
                <w:szCs w:val="18"/>
              </w:rPr>
              <w:t>UNDP</w:t>
            </w:r>
          </w:p>
        </w:tc>
        <w:tc>
          <w:tcPr>
            <w:tcW w:w="1350" w:type="dxa"/>
            <w:shd w:val="clear" w:color="auto" w:fill="auto"/>
          </w:tcPr>
          <w:p w14:paraId="733F1C89" w14:textId="77777777" w:rsidR="00AA0520" w:rsidRPr="00FB596C" w:rsidRDefault="00AA0520" w:rsidP="00AA0520">
            <w:pPr>
              <w:pStyle w:val="Header"/>
              <w:spacing w:before="60"/>
              <w:jc w:val="center"/>
              <w:rPr>
                <w:iCs/>
                <w:sz w:val="18"/>
                <w:szCs w:val="18"/>
              </w:rPr>
            </w:pPr>
            <w:r>
              <w:rPr>
                <w:iCs/>
                <w:sz w:val="18"/>
                <w:szCs w:val="18"/>
              </w:rPr>
              <w:t>0</w:t>
            </w:r>
          </w:p>
        </w:tc>
        <w:tc>
          <w:tcPr>
            <w:tcW w:w="720" w:type="dxa"/>
          </w:tcPr>
          <w:p w14:paraId="5736B8FE" w14:textId="7E34CB4F" w:rsidR="00AA0520" w:rsidRPr="00FB596C" w:rsidRDefault="00AA0520" w:rsidP="00AA0520">
            <w:pPr>
              <w:pStyle w:val="Header"/>
              <w:spacing w:before="60"/>
              <w:jc w:val="center"/>
              <w:rPr>
                <w:iCs/>
                <w:sz w:val="18"/>
                <w:szCs w:val="18"/>
              </w:rPr>
            </w:pPr>
            <w:r>
              <w:rPr>
                <w:iCs/>
                <w:sz w:val="18"/>
                <w:szCs w:val="18"/>
              </w:rPr>
              <w:t>20</w:t>
            </w:r>
            <w:r w:rsidR="00813214">
              <w:rPr>
                <w:iCs/>
                <w:sz w:val="18"/>
                <w:szCs w:val="18"/>
              </w:rPr>
              <w:t>20</w:t>
            </w:r>
          </w:p>
        </w:tc>
        <w:tc>
          <w:tcPr>
            <w:tcW w:w="1350" w:type="dxa"/>
          </w:tcPr>
          <w:p w14:paraId="6963C09D" w14:textId="1071F534" w:rsidR="00AA0520" w:rsidRDefault="00813214" w:rsidP="00AA0520">
            <w:pPr>
              <w:pStyle w:val="Header"/>
              <w:spacing w:before="60"/>
              <w:jc w:val="center"/>
              <w:rPr>
                <w:iCs/>
                <w:sz w:val="18"/>
                <w:szCs w:val="18"/>
              </w:rPr>
            </w:pPr>
            <w:r>
              <w:rPr>
                <w:iCs/>
                <w:sz w:val="18"/>
                <w:szCs w:val="18"/>
              </w:rPr>
              <w:t>0</w:t>
            </w:r>
          </w:p>
        </w:tc>
        <w:tc>
          <w:tcPr>
            <w:tcW w:w="1350" w:type="dxa"/>
          </w:tcPr>
          <w:p w14:paraId="32E126CB" w14:textId="50E05EBC" w:rsidR="00AA0520" w:rsidRDefault="00813214" w:rsidP="00AA0520">
            <w:pPr>
              <w:pStyle w:val="Header"/>
              <w:spacing w:before="60"/>
              <w:jc w:val="center"/>
              <w:rPr>
                <w:iCs/>
                <w:sz w:val="18"/>
                <w:szCs w:val="18"/>
              </w:rPr>
            </w:pPr>
            <w:r>
              <w:rPr>
                <w:iCs/>
                <w:sz w:val="18"/>
                <w:szCs w:val="18"/>
              </w:rPr>
              <w:t>5</w:t>
            </w:r>
          </w:p>
        </w:tc>
        <w:tc>
          <w:tcPr>
            <w:tcW w:w="1350" w:type="dxa"/>
          </w:tcPr>
          <w:p w14:paraId="029A18D6" w14:textId="5D21CBB1" w:rsidR="00AA0520" w:rsidRDefault="00813214" w:rsidP="00AA0520">
            <w:pPr>
              <w:spacing w:before="60"/>
              <w:jc w:val="center"/>
              <w:rPr>
                <w:iCs/>
                <w:sz w:val="18"/>
                <w:szCs w:val="18"/>
              </w:rPr>
            </w:pPr>
            <w:r>
              <w:rPr>
                <w:iCs/>
                <w:sz w:val="18"/>
                <w:szCs w:val="18"/>
              </w:rPr>
              <w:t>5</w:t>
            </w:r>
          </w:p>
        </w:tc>
        <w:tc>
          <w:tcPr>
            <w:tcW w:w="2137" w:type="dxa"/>
            <w:shd w:val="clear" w:color="auto" w:fill="auto"/>
          </w:tcPr>
          <w:p w14:paraId="6CB76A1C" w14:textId="77777777" w:rsidR="00AA0520" w:rsidRPr="00FB596C" w:rsidRDefault="00AA0520" w:rsidP="00AA0520">
            <w:pPr>
              <w:spacing w:before="60"/>
              <w:jc w:val="left"/>
              <w:rPr>
                <w:iCs/>
                <w:sz w:val="18"/>
                <w:szCs w:val="18"/>
              </w:rPr>
            </w:pPr>
            <w:r>
              <w:rPr>
                <w:iCs/>
                <w:sz w:val="18"/>
                <w:szCs w:val="18"/>
              </w:rPr>
              <w:t>Project records</w:t>
            </w:r>
          </w:p>
        </w:tc>
      </w:tr>
      <w:tr w:rsidR="00AA0520" w:rsidRPr="0063436F" w14:paraId="28C1435C" w14:textId="77777777" w:rsidTr="7DF5A6EA">
        <w:trPr>
          <w:trHeight w:val="530"/>
          <w:tblHeader/>
        </w:trPr>
        <w:tc>
          <w:tcPr>
            <w:tcW w:w="1620" w:type="dxa"/>
            <w:vMerge/>
          </w:tcPr>
          <w:p w14:paraId="24E79EB9" w14:textId="77777777" w:rsidR="00AA0520" w:rsidRPr="0063436F" w:rsidRDefault="00AA0520" w:rsidP="00AA0520">
            <w:pPr>
              <w:spacing w:before="60"/>
              <w:jc w:val="left"/>
              <w:rPr>
                <w:i/>
                <w:sz w:val="20"/>
                <w:szCs w:val="20"/>
                <w:highlight w:val="yellow"/>
              </w:rPr>
            </w:pPr>
          </w:p>
        </w:tc>
        <w:tc>
          <w:tcPr>
            <w:tcW w:w="3780" w:type="dxa"/>
          </w:tcPr>
          <w:p w14:paraId="64C0E4F7" w14:textId="52AAD1B2" w:rsidR="00AA0520" w:rsidRPr="00FB596C" w:rsidRDefault="00AA0520" w:rsidP="00707255">
            <w:pPr>
              <w:rPr>
                <w:bCs/>
                <w:sz w:val="18"/>
                <w:szCs w:val="18"/>
              </w:rPr>
            </w:pPr>
            <w:r w:rsidRPr="00AA0520">
              <w:rPr>
                <w:b/>
                <w:bCs/>
                <w:sz w:val="18"/>
                <w:szCs w:val="18"/>
              </w:rPr>
              <w:t>2.4.1:</w:t>
            </w:r>
            <w:r w:rsidRPr="00AA0520">
              <w:rPr>
                <w:bCs/>
                <w:sz w:val="18"/>
                <w:szCs w:val="18"/>
              </w:rPr>
              <w:t xml:space="preserve"> </w:t>
            </w:r>
            <w:r w:rsidR="00707255" w:rsidRPr="00707255">
              <w:rPr>
                <w:bCs/>
                <w:sz w:val="18"/>
                <w:szCs w:val="18"/>
              </w:rPr>
              <w:t>Community-level conflict resolution mechanisms developed and fully operational</w:t>
            </w:r>
          </w:p>
        </w:tc>
        <w:tc>
          <w:tcPr>
            <w:tcW w:w="1350" w:type="dxa"/>
          </w:tcPr>
          <w:p w14:paraId="571CB5B1" w14:textId="77777777" w:rsidR="00AA0520" w:rsidRPr="00FB596C" w:rsidRDefault="00AA0520" w:rsidP="00AA0520">
            <w:pPr>
              <w:pStyle w:val="Header"/>
              <w:spacing w:before="60"/>
              <w:jc w:val="center"/>
              <w:rPr>
                <w:iCs/>
                <w:sz w:val="18"/>
                <w:szCs w:val="18"/>
              </w:rPr>
            </w:pPr>
            <w:r>
              <w:rPr>
                <w:iCs/>
                <w:sz w:val="18"/>
                <w:szCs w:val="18"/>
              </w:rPr>
              <w:t>UNDP</w:t>
            </w:r>
          </w:p>
        </w:tc>
        <w:tc>
          <w:tcPr>
            <w:tcW w:w="1350" w:type="dxa"/>
            <w:shd w:val="clear" w:color="auto" w:fill="auto"/>
          </w:tcPr>
          <w:p w14:paraId="0373189A" w14:textId="77777777" w:rsidR="00AA0520" w:rsidRPr="00FB596C" w:rsidRDefault="00AA0520" w:rsidP="00AA0520">
            <w:pPr>
              <w:pStyle w:val="Header"/>
              <w:spacing w:before="60"/>
              <w:jc w:val="center"/>
              <w:rPr>
                <w:iCs/>
                <w:sz w:val="18"/>
                <w:szCs w:val="18"/>
              </w:rPr>
            </w:pPr>
            <w:r>
              <w:rPr>
                <w:iCs/>
                <w:sz w:val="18"/>
                <w:szCs w:val="18"/>
              </w:rPr>
              <w:t>0</w:t>
            </w:r>
          </w:p>
        </w:tc>
        <w:tc>
          <w:tcPr>
            <w:tcW w:w="720" w:type="dxa"/>
          </w:tcPr>
          <w:p w14:paraId="7183827E" w14:textId="3FD5360F" w:rsidR="00AA0520" w:rsidRPr="00FB596C" w:rsidRDefault="00707255" w:rsidP="00AA0520">
            <w:pPr>
              <w:pStyle w:val="Header"/>
              <w:spacing w:before="60"/>
              <w:jc w:val="center"/>
              <w:rPr>
                <w:iCs/>
                <w:sz w:val="18"/>
                <w:szCs w:val="18"/>
              </w:rPr>
            </w:pPr>
            <w:r>
              <w:rPr>
                <w:iCs/>
                <w:sz w:val="18"/>
                <w:szCs w:val="18"/>
              </w:rPr>
              <w:t>2020</w:t>
            </w:r>
          </w:p>
        </w:tc>
        <w:tc>
          <w:tcPr>
            <w:tcW w:w="1350" w:type="dxa"/>
          </w:tcPr>
          <w:p w14:paraId="5D31FE9A" w14:textId="008C2CAB" w:rsidR="00AA0520" w:rsidRDefault="00707255" w:rsidP="00AA0520">
            <w:pPr>
              <w:pStyle w:val="Header"/>
              <w:spacing w:before="60"/>
              <w:jc w:val="center"/>
              <w:rPr>
                <w:iCs/>
                <w:sz w:val="18"/>
                <w:szCs w:val="18"/>
              </w:rPr>
            </w:pPr>
            <w:r>
              <w:rPr>
                <w:iCs/>
                <w:sz w:val="18"/>
                <w:szCs w:val="18"/>
              </w:rPr>
              <w:t>0</w:t>
            </w:r>
          </w:p>
        </w:tc>
        <w:tc>
          <w:tcPr>
            <w:tcW w:w="1350" w:type="dxa"/>
          </w:tcPr>
          <w:p w14:paraId="62014A43" w14:textId="77777777" w:rsidR="00AA0520" w:rsidRDefault="00AA0520" w:rsidP="00AA0520">
            <w:pPr>
              <w:pStyle w:val="Header"/>
              <w:spacing w:before="60"/>
              <w:jc w:val="center"/>
              <w:rPr>
                <w:iCs/>
                <w:sz w:val="18"/>
                <w:szCs w:val="18"/>
              </w:rPr>
            </w:pPr>
            <w:r>
              <w:rPr>
                <w:iCs/>
                <w:sz w:val="18"/>
                <w:szCs w:val="18"/>
              </w:rPr>
              <w:t>5</w:t>
            </w:r>
          </w:p>
        </w:tc>
        <w:tc>
          <w:tcPr>
            <w:tcW w:w="1350" w:type="dxa"/>
          </w:tcPr>
          <w:p w14:paraId="668AD0E4" w14:textId="77777777" w:rsidR="00AA0520" w:rsidRDefault="00AA0520" w:rsidP="00AA0520">
            <w:pPr>
              <w:spacing w:before="60"/>
              <w:jc w:val="center"/>
              <w:rPr>
                <w:iCs/>
                <w:sz w:val="18"/>
                <w:szCs w:val="18"/>
              </w:rPr>
            </w:pPr>
            <w:r>
              <w:rPr>
                <w:iCs/>
                <w:sz w:val="18"/>
                <w:szCs w:val="18"/>
              </w:rPr>
              <w:t>5</w:t>
            </w:r>
          </w:p>
        </w:tc>
        <w:tc>
          <w:tcPr>
            <w:tcW w:w="2137" w:type="dxa"/>
            <w:shd w:val="clear" w:color="auto" w:fill="auto"/>
          </w:tcPr>
          <w:p w14:paraId="767CB1E3" w14:textId="77777777" w:rsidR="00AA0520" w:rsidRPr="00FB596C" w:rsidRDefault="00AA0520" w:rsidP="00AA0520">
            <w:pPr>
              <w:spacing w:before="60"/>
              <w:jc w:val="left"/>
              <w:rPr>
                <w:iCs/>
                <w:sz w:val="18"/>
                <w:szCs w:val="18"/>
              </w:rPr>
            </w:pPr>
            <w:r>
              <w:rPr>
                <w:iCs/>
                <w:sz w:val="18"/>
                <w:szCs w:val="18"/>
              </w:rPr>
              <w:t>Project records</w:t>
            </w:r>
          </w:p>
        </w:tc>
      </w:tr>
      <w:tr w:rsidR="00AA0520" w:rsidRPr="0063436F" w14:paraId="16445335" w14:textId="77777777" w:rsidTr="7DF5A6EA">
        <w:trPr>
          <w:trHeight w:val="530"/>
          <w:tblHeader/>
        </w:trPr>
        <w:tc>
          <w:tcPr>
            <w:tcW w:w="1620" w:type="dxa"/>
            <w:vMerge/>
          </w:tcPr>
          <w:p w14:paraId="1941D77F" w14:textId="77777777" w:rsidR="00AA0520" w:rsidRPr="0063436F" w:rsidRDefault="00AA0520" w:rsidP="00AA0520">
            <w:pPr>
              <w:spacing w:before="60"/>
              <w:jc w:val="left"/>
              <w:rPr>
                <w:i/>
                <w:sz w:val="20"/>
                <w:szCs w:val="20"/>
                <w:highlight w:val="yellow"/>
              </w:rPr>
            </w:pPr>
          </w:p>
        </w:tc>
        <w:tc>
          <w:tcPr>
            <w:tcW w:w="3780" w:type="dxa"/>
          </w:tcPr>
          <w:p w14:paraId="0DF4EA06" w14:textId="536F7576" w:rsidR="00AA0520" w:rsidRPr="00FB596C" w:rsidRDefault="2B2E4FF4" w:rsidP="7DF5A6EA">
            <w:pPr>
              <w:rPr>
                <w:sz w:val="18"/>
                <w:szCs w:val="18"/>
              </w:rPr>
            </w:pPr>
            <w:r w:rsidRPr="7DF5A6EA">
              <w:rPr>
                <w:b/>
                <w:bCs/>
                <w:sz w:val="18"/>
                <w:szCs w:val="18"/>
              </w:rPr>
              <w:t>2.4.2:</w:t>
            </w:r>
            <w:r w:rsidRPr="7DF5A6EA">
              <w:rPr>
                <w:sz w:val="18"/>
                <w:szCs w:val="18"/>
              </w:rPr>
              <w:t xml:space="preserve"> </w:t>
            </w:r>
            <w:r w:rsidR="3A1F471D" w:rsidRPr="7DF5A6EA">
              <w:rPr>
                <w:sz w:val="18"/>
                <w:szCs w:val="18"/>
              </w:rPr>
              <w:t>Change in percentage of community members who place confidence in their communities and local governments</w:t>
            </w:r>
            <w:r w:rsidR="00FB5C29">
              <w:rPr>
                <w:sz w:val="18"/>
                <w:szCs w:val="18"/>
              </w:rPr>
              <w:t>, disaggregated by sex and age</w:t>
            </w:r>
          </w:p>
        </w:tc>
        <w:tc>
          <w:tcPr>
            <w:tcW w:w="1350" w:type="dxa"/>
          </w:tcPr>
          <w:p w14:paraId="07C29537" w14:textId="77777777" w:rsidR="00AA0520" w:rsidRPr="00FB596C" w:rsidRDefault="00AA0520" w:rsidP="00AA0520">
            <w:pPr>
              <w:pStyle w:val="Header"/>
              <w:spacing w:before="60"/>
              <w:jc w:val="center"/>
              <w:rPr>
                <w:iCs/>
                <w:sz w:val="18"/>
                <w:szCs w:val="18"/>
              </w:rPr>
            </w:pPr>
            <w:r w:rsidRPr="00FB596C">
              <w:rPr>
                <w:iCs/>
                <w:sz w:val="18"/>
                <w:szCs w:val="18"/>
              </w:rPr>
              <w:t>UNDP</w:t>
            </w:r>
          </w:p>
        </w:tc>
        <w:tc>
          <w:tcPr>
            <w:tcW w:w="1350" w:type="dxa"/>
            <w:shd w:val="clear" w:color="auto" w:fill="auto"/>
          </w:tcPr>
          <w:p w14:paraId="4EE318D3" w14:textId="0B8A0118" w:rsidR="00AA0520" w:rsidRPr="00FB596C" w:rsidRDefault="001F6181" w:rsidP="00AA0520">
            <w:pPr>
              <w:pStyle w:val="Header"/>
              <w:spacing w:before="60"/>
              <w:jc w:val="center"/>
              <w:rPr>
                <w:iCs/>
                <w:sz w:val="18"/>
                <w:szCs w:val="18"/>
              </w:rPr>
            </w:pPr>
            <w:r>
              <w:rPr>
                <w:iCs/>
                <w:sz w:val="18"/>
                <w:szCs w:val="18"/>
              </w:rPr>
              <w:t>No changes</w:t>
            </w:r>
          </w:p>
        </w:tc>
        <w:tc>
          <w:tcPr>
            <w:tcW w:w="720" w:type="dxa"/>
          </w:tcPr>
          <w:p w14:paraId="793C392E" w14:textId="2A257FA0" w:rsidR="00AA0520" w:rsidRPr="00FB596C" w:rsidRDefault="00AA0520" w:rsidP="00AA0520">
            <w:pPr>
              <w:pStyle w:val="Header"/>
              <w:spacing w:before="60"/>
              <w:jc w:val="center"/>
              <w:rPr>
                <w:iCs/>
                <w:sz w:val="18"/>
                <w:szCs w:val="18"/>
              </w:rPr>
            </w:pPr>
            <w:r w:rsidRPr="00FB596C">
              <w:rPr>
                <w:iCs/>
                <w:sz w:val="18"/>
                <w:szCs w:val="18"/>
              </w:rPr>
              <w:t>20</w:t>
            </w:r>
            <w:r w:rsidR="001F6181">
              <w:rPr>
                <w:iCs/>
                <w:sz w:val="18"/>
                <w:szCs w:val="18"/>
              </w:rPr>
              <w:t>20</w:t>
            </w:r>
          </w:p>
        </w:tc>
        <w:tc>
          <w:tcPr>
            <w:tcW w:w="1350" w:type="dxa"/>
          </w:tcPr>
          <w:p w14:paraId="166A9472" w14:textId="2E4FF3DA" w:rsidR="00AA0520" w:rsidRPr="00FB596C" w:rsidRDefault="001F6181" w:rsidP="00AA0520">
            <w:pPr>
              <w:pStyle w:val="Header"/>
              <w:spacing w:before="60"/>
              <w:jc w:val="center"/>
              <w:rPr>
                <w:iCs/>
                <w:sz w:val="18"/>
                <w:szCs w:val="18"/>
              </w:rPr>
            </w:pPr>
            <w:r>
              <w:rPr>
                <w:iCs/>
                <w:sz w:val="18"/>
                <w:szCs w:val="18"/>
              </w:rPr>
              <w:t>Increased</w:t>
            </w:r>
          </w:p>
        </w:tc>
        <w:tc>
          <w:tcPr>
            <w:tcW w:w="1350" w:type="dxa"/>
          </w:tcPr>
          <w:p w14:paraId="11CDA146" w14:textId="4375BC68" w:rsidR="00AA0520" w:rsidRPr="00FB596C" w:rsidRDefault="001F6181" w:rsidP="00AA0520">
            <w:pPr>
              <w:pStyle w:val="Header"/>
              <w:spacing w:before="60"/>
              <w:jc w:val="center"/>
              <w:rPr>
                <w:iCs/>
                <w:sz w:val="18"/>
                <w:szCs w:val="18"/>
              </w:rPr>
            </w:pPr>
            <w:r>
              <w:rPr>
                <w:iCs/>
                <w:sz w:val="18"/>
                <w:szCs w:val="18"/>
              </w:rPr>
              <w:t>Increased</w:t>
            </w:r>
          </w:p>
        </w:tc>
        <w:tc>
          <w:tcPr>
            <w:tcW w:w="1350" w:type="dxa"/>
          </w:tcPr>
          <w:p w14:paraId="18B0B553" w14:textId="37B65DA3" w:rsidR="00AA0520" w:rsidRPr="00FB596C" w:rsidDel="00BD7C58" w:rsidRDefault="001F6181" w:rsidP="00AA0520">
            <w:pPr>
              <w:spacing w:before="60"/>
              <w:jc w:val="center"/>
              <w:rPr>
                <w:b/>
                <w:bCs/>
                <w:iCs/>
                <w:sz w:val="18"/>
                <w:szCs w:val="18"/>
              </w:rPr>
            </w:pPr>
            <w:r>
              <w:rPr>
                <w:iCs/>
                <w:sz w:val="18"/>
                <w:szCs w:val="18"/>
              </w:rPr>
              <w:t>Increased</w:t>
            </w:r>
          </w:p>
        </w:tc>
        <w:tc>
          <w:tcPr>
            <w:tcW w:w="2137" w:type="dxa"/>
            <w:shd w:val="clear" w:color="auto" w:fill="auto"/>
          </w:tcPr>
          <w:p w14:paraId="4E290226" w14:textId="09B610D7" w:rsidR="00AA0520" w:rsidRPr="00FB596C" w:rsidRDefault="001F6181" w:rsidP="00AA0520">
            <w:pPr>
              <w:spacing w:before="60"/>
              <w:jc w:val="left"/>
              <w:rPr>
                <w:iCs/>
                <w:sz w:val="18"/>
                <w:szCs w:val="18"/>
              </w:rPr>
            </w:pPr>
            <w:r>
              <w:rPr>
                <w:iCs/>
                <w:sz w:val="18"/>
                <w:szCs w:val="18"/>
              </w:rPr>
              <w:t>Survey</w:t>
            </w:r>
          </w:p>
        </w:tc>
      </w:tr>
    </w:tbl>
    <w:p w14:paraId="40078C55" w14:textId="77777777" w:rsidR="001C2D1D" w:rsidRPr="00D24685" w:rsidRDefault="001C2D1D" w:rsidP="001C2D1D">
      <w:pPr>
        <w:pStyle w:val="Heading1"/>
        <w:numPr>
          <w:ilvl w:val="0"/>
          <w:numId w:val="0"/>
        </w:numPr>
        <w:spacing w:before="60" w:after="60"/>
        <w:rPr>
          <w:highlight w:val="lightGray"/>
        </w:rPr>
        <w:sectPr w:rsidR="001C2D1D" w:rsidRPr="00D24685" w:rsidSect="00894D47">
          <w:headerReference w:type="first" r:id="rId22"/>
          <w:pgSz w:w="16838" w:h="11906" w:orient="landscape" w:code="9"/>
          <w:pgMar w:top="1152" w:right="864" w:bottom="1152" w:left="864" w:header="720" w:footer="432" w:gutter="0"/>
          <w:cols w:space="708"/>
          <w:titlePg/>
          <w:docGrid w:linePitch="360"/>
        </w:sectPr>
      </w:pPr>
    </w:p>
    <w:p w14:paraId="7C9F76E9" w14:textId="77777777" w:rsidR="001C2D1D" w:rsidRPr="008B5186" w:rsidRDefault="001C2D1D" w:rsidP="001C2D1D">
      <w:pPr>
        <w:pStyle w:val="Heading1"/>
      </w:pPr>
      <w:r w:rsidRPr="008B5186">
        <w:lastRenderedPageBreak/>
        <w:t xml:space="preserve">Monitoring </w:t>
      </w:r>
      <w:r>
        <w:t>And Evaluation</w:t>
      </w:r>
    </w:p>
    <w:p w14:paraId="0CA1C747" w14:textId="77777777" w:rsidR="001C2D1D" w:rsidRDefault="001C2D1D" w:rsidP="001C2D1D">
      <w:r>
        <w:t>In accordance with UNDP’s programming policies and procedures, the project will be monitored through the following monitoring and evaluation plans:</w:t>
      </w:r>
    </w:p>
    <w:p w14:paraId="3566A15F" w14:textId="77777777" w:rsidR="001C2D1D" w:rsidRDefault="001C2D1D" w:rsidP="001C2D1D"/>
    <w:p w14:paraId="3D49844A" w14:textId="77777777" w:rsidR="001C2D1D" w:rsidRPr="00962FFA" w:rsidRDefault="001C2D1D" w:rsidP="001C2D1D">
      <w:pPr>
        <w:rPr>
          <w:b/>
          <w:sz w:val="24"/>
        </w:rPr>
      </w:pPr>
      <w:r w:rsidRPr="00962FFA">
        <w:rPr>
          <w:b/>
          <w:sz w:val="24"/>
        </w:rPr>
        <w:t>Monitoring Plan</w:t>
      </w:r>
      <w:r>
        <w:rPr>
          <w:rStyle w:val="FootnoteReference"/>
          <w:b/>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4500"/>
        <w:gridCol w:w="2048"/>
        <w:gridCol w:w="3364"/>
        <w:gridCol w:w="1692"/>
        <w:gridCol w:w="1164"/>
      </w:tblGrid>
      <w:tr w:rsidR="001C2D1D" w:rsidRPr="0063436F" w14:paraId="05532C11" w14:textId="77777777" w:rsidTr="00710F87">
        <w:tc>
          <w:tcPr>
            <w:tcW w:w="2358" w:type="dxa"/>
            <w:shd w:val="clear" w:color="auto" w:fill="auto"/>
            <w:vAlign w:val="center"/>
          </w:tcPr>
          <w:p w14:paraId="4864EF5D" w14:textId="77777777" w:rsidR="001C2D1D" w:rsidRPr="009A030D" w:rsidRDefault="001C2D1D" w:rsidP="00710F87">
            <w:pPr>
              <w:spacing w:after="0"/>
              <w:jc w:val="center"/>
              <w:rPr>
                <w:b/>
              </w:rPr>
            </w:pPr>
            <w:r w:rsidRPr="009A030D">
              <w:rPr>
                <w:b/>
              </w:rPr>
              <w:t>Monitoring Activity</w:t>
            </w:r>
          </w:p>
        </w:tc>
        <w:tc>
          <w:tcPr>
            <w:tcW w:w="4590" w:type="dxa"/>
            <w:shd w:val="clear" w:color="auto" w:fill="auto"/>
            <w:vAlign w:val="center"/>
          </w:tcPr>
          <w:p w14:paraId="633F8C83" w14:textId="77777777" w:rsidR="001C2D1D" w:rsidRPr="009A030D" w:rsidRDefault="001C2D1D" w:rsidP="00710F87">
            <w:pPr>
              <w:spacing w:after="0"/>
              <w:jc w:val="center"/>
              <w:rPr>
                <w:b/>
              </w:rPr>
            </w:pPr>
            <w:r w:rsidRPr="009A030D">
              <w:rPr>
                <w:b/>
              </w:rPr>
              <w:t>Purpose</w:t>
            </w:r>
          </w:p>
        </w:tc>
        <w:tc>
          <w:tcPr>
            <w:tcW w:w="2070" w:type="dxa"/>
            <w:shd w:val="clear" w:color="auto" w:fill="auto"/>
            <w:vAlign w:val="center"/>
          </w:tcPr>
          <w:p w14:paraId="17FE739B" w14:textId="77777777" w:rsidR="001C2D1D" w:rsidRPr="009A030D" w:rsidRDefault="001C2D1D" w:rsidP="00710F87">
            <w:pPr>
              <w:spacing w:after="0"/>
              <w:jc w:val="center"/>
              <w:rPr>
                <w:b/>
              </w:rPr>
            </w:pPr>
            <w:r w:rsidRPr="009A030D">
              <w:rPr>
                <w:b/>
              </w:rPr>
              <w:t>Frequency</w:t>
            </w:r>
          </w:p>
        </w:tc>
        <w:tc>
          <w:tcPr>
            <w:tcW w:w="3420" w:type="dxa"/>
            <w:shd w:val="clear" w:color="auto" w:fill="auto"/>
            <w:vAlign w:val="center"/>
          </w:tcPr>
          <w:p w14:paraId="17A5B802" w14:textId="77777777" w:rsidR="001C2D1D" w:rsidRPr="009A030D" w:rsidRDefault="001C2D1D" w:rsidP="00710F87">
            <w:pPr>
              <w:spacing w:after="0"/>
              <w:jc w:val="center"/>
              <w:rPr>
                <w:b/>
              </w:rPr>
            </w:pPr>
            <w:r w:rsidRPr="009A030D">
              <w:rPr>
                <w:b/>
              </w:rPr>
              <w:t>Expected Action</w:t>
            </w:r>
          </w:p>
        </w:tc>
        <w:tc>
          <w:tcPr>
            <w:tcW w:w="1710" w:type="dxa"/>
            <w:shd w:val="clear" w:color="auto" w:fill="auto"/>
            <w:vAlign w:val="center"/>
          </w:tcPr>
          <w:p w14:paraId="4B90EF21" w14:textId="77777777" w:rsidR="001C2D1D" w:rsidRPr="009A030D" w:rsidRDefault="001C2D1D" w:rsidP="00710F87">
            <w:pPr>
              <w:spacing w:after="0"/>
              <w:jc w:val="center"/>
              <w:rPr>
                <w:b/>
              </w:rPr>
            </w:pPr>
            <w:r w:rsidRPr="009A030D">
              <w:rPr>
                <w:b/>
              </w:rPr>
              <w:t xml:space="preserve">Partners </w:t>
            </w:r>
          </w:p>
          <w:p w14:paraId="1232ACFE" w14:textId="77777777" w:rsidR="001C2D1D" w:rsidRPr="009A030D" w:rsidRDefault="001C2D1D" w:rsidP="00710F87">
            <w:pPr>
              <w:spacing w:after="0"/>
              <w:jc w:val="center"/>
              <w:rPr>
                <w:b/>
              </w:rPr>
            </w:pPr>
            <w:r w:rsidRPr="009A030D">
              <w:rPr>
                <w:b/>
              </w:rPr>
              <w:t>(if joint)</w:t>
            </w:r>
          </w:p>
        </w:tc>
        <w:tc>
          <w:tcPr>
            <w:tcW w:w="1178" w:type="dxa"/>
            <w:shd w:val="clear" w:color="auto" w:fill="auto"/>
            <w:vAlign w:val="center"/>
          </w:tcPr>
          <w:p w14:paraId="3D23443F" w14:textId="77777777" w:rsidR="001C2D1D" w:rsidRPr="009A030D" w:rsidRDefault="001C2D1D" w:rsidP="00710F87">
            <w:pPr>
              <w:spacing w:after="0"/>
              <w:jc w:val="center"/>
              <w:rPr>
                <w:b/>
              </w:rPr>
            </w:pPr>
            <w:r w:rsidRPr="009A030D">
              <w:rPr>
                <w:b/>
              </w:rPr>
              <w:t xml:space="preserve">Cost </w:t>
            </w:r>
          </w:p>
          <w:p w14:paraId="0CFDF2AA" w14:textId="77777777" w:rsidR="001C2D1D" w:rsidRPr="009A030D" w:rsidRDefault="001C2D1D" w:rsidP="00710F87">
            <w:pPr>
              <w:spacing w:after="0"/>
              <w:jc w:val="center"/>
              <w:rPr>
                <w:b/>
              </w:rPr>
            </w:pPr>
            <w:r w:rsidRPr="009A030D">
              <w:rPr>
                <w:b/>
              </w:rPr>
              <w:t>(if any)</w:t>
            </w:r>
          </w:p>
        </w:tc>
      </w:tr>
      <w:tr w:rsidR="001C2D1D" w:rsidRPr="0063436F" w14:paraId="2AF26207" w14:textId="77777777" w:rsidTr="00710F87">
        <w:tc>
          <w:tcPr>
            <w:tcW w:w="2358" w:type="dxa"/>
            <w:shd w:val="clear" w:color="auto" w:fill="auto"/>
            <w:vAlign w:val="center"/>
          </w:tcPr>
          <w:p w14:paraId="62CE4684" w14:textId="77777777" w:rsidR="001C2D1D" w:rsidRPr="009A030D" w:rsidRDefault="001C2D1D" w:rsidP="00710F87">
            <w:pPr>
              <w:spacing w:after="0"/>
              <w:jc w:val="left"/>
              <w:rPr>
                <w:b/>
              </w:rPr>
            </w:pPr>
            <w:r w:rsidRPr="009A030D">
              <w:rPr>
                <w:b/>
              </w:rPr>
              <w:t>Baseline Assessment</w:t>
            </w:r>
          </w:p>
        </w:tc>
        <w:tc>
          <w:tcPr>
            <w:tcW w:w="4590" w:type="dxa"/>
            <w:shd w:val="clear" w:color="auto" w:fill="auto"/>
          </w:tcPr>
          <w:p w14:paraId="1E741497" w14:textId="77777777" w:rsidR="001C2D1D" w:rsidRPr="009A030D" w:rsidRDefault="001C2D1D" w:rsidP="00710F87">
            <w:pPr>
              <w:spacing w:after="0"/>
              <w:jc w:val="left"/>
              <w:rPr>
                <w:rFonts w:cs="Arial"/>
                <w:bCs/>
                <w:szCs w:val="22"/>
              </w:rPr>
            </w:pPr>
            <w:r w:rsidRPr="009A030D">
              <w:rPr>
                <w:bCs/>
              </w:rPr>
              <w:t xml:space="preserve">To establish a baseline level of data (state of play) on which the targets, monitoring plan and evaluations are based to assess the level ad nature of change at the end of the project </w:t>
            </w:r>
          </w:p>
        </w:tc>
        <w:tc>
          <w:tcPr>
            <w:tcW w:w="2070" w:type="dxa"/>
            <w:shd w:val="clear" w:color="auto" w:fill="auto"/>
          </w:tcPr>
          <w:p w14:paraId="6646A824" w14:textId="77777777" w:rsidR="001C2D1D" w:rsidRPr="009A030D" w:rsidRDefault="001C2D1D" w:rsidP="00710F87">
            <w:pPr>
              <w:spacing w:after="0"/>
              <w:jc w:val="left"/>
            </w:pPr>
            <w:r w:rsidRPr="009A030D">
              <w:t>At the beginning of the project</w:t>
            </w:r>
          </w:p>
        </w:tc>
        <w:tc>
          <w:tcPr>
            <w:tcW w:w="3420" w:type="dxa"/>
            <w:shd w:val="clear" w:color="auto" w:fill="auto"/>
          </w:tcPr>
          <w:p w14:paraId="3FAD4B43" w14:textId="77777777" w:rsidR="001C2D1D" w:rsidRPr="009A030D" w:rsidRDefault="001C2D1D" w:rsidP="00710F87">
            <w:pPr>
              <w:spacing w:after="0"/>
              <w:jc w:val="left"/>
              <w:rPr>
                <w:rFonts w:cs="Arial"/>
                <w:szCs w:val="22"/>
              </w:rPr>
            </w:pPr>
            <w:r w:rsidRPr="009A030D">
              <w:rPr>
                <w:rFonts w:cs="Arial"/>
                <w:szCs w:val="22"/>
              </w:rPr>
              <w:t>Baseline data collection (surveys, consultations etc. to establish baseline for targets)</w:t>
            </w:r>
          </w:p>
        </w:tc>
        <w:tc>
          <w:tcPr>
            <w:tcW w:w="1710" w:type="dxa"/>
            <w:shd w:val="clear" w:color="auto" w:fill="auto"/>
          </w:tcPr>
          <w:p w14:paraId="762D2F8A" w14:textId="77777777" w:rsidR="001C2D1D" w:rsidRPr="009A030D" w:rsidRDefault="001C2D1D" w:rsidP="00710F87">
            <w:pPr>
              <w:spacing w:after="0"/>
            </w:pPr>
          </w:p>
        </w:tc>
        <w:tc>
          <w:tcPr>
            <w:tcW w:w="1178" w:type="dxa"/>
            <w:shd w:val="clear" w:color="auto" w:fill="auto"/>
          </w:tcPr>
          <w:p w14:paraId="3E85B80B" w14:textId="77777777" w:rsidR="001C2D1D" w:rsidRPr="009A030D" w:rsidRDefault="001C2D1D" w:rsidP="00710F87">
            <w:pPr>
              <w:spacing w:after="0"/>
            </w:pPr>
          </w:p>
        </w:tc>
      </w:tr>
      <w:tr w:rsidR="001C2D1D" w:rsidRPr="0063436F" w14:paraId="3A404981" w14:textId="77777777" w:rsidTr="00710F87">
        <w:tc>
          <w:tcPr>
            <w:tcW w:w="2358" w:type="dxa"/>
            <w:shd w:val="clear" w:color="auto" w:fill="auto"/>
            <w:vAlign w:val="center"/>
          </w:tcPr>
          <w:p w14:paraId="2FA76CD4" w14:textId="77777777" w:rsidR="001C2D1D" w:rsidRPr="009A030D" w:rsidRDefault="001C2D1D" w:rsidP="00710F87">
            <w:pPr>
              <w:spacing w:after="0"/>
              <w:jc w:val="left"/>
              <w:rPr>
                <w:b/>
              </w:rPr>
            </w:pPr>
            <w:r w:rsidRPr="009A030D">
              <w:rPr>
                <w:b/>
              </w:rPr>
              <w:t>Track results progress</w:t>
            </w:r>
          </w:p>
        </w:tc>
        <w:tc>
          <w:tcPr>
            <w:tcW w:w="4590" w:type="dxa"/>
            <w:shd w:val="clear" w:color="auto" w:fill="auto"/>
          </w:tcPr>
          <w:p w14:paraId="4506C307" w14:textId="77777777" w:rsidR="001C2D1D" w:rsidRPr="009A030D" w:rsidRDefault="001C2D1D" w:rsidP="00710F87">
            <w:pPr>
              <w:spacing w:after="0"/>
              <w:jc w:val="left"/>
            </w:pPr>
            <w:r w:rsidRPr="009A030D">
              <w:rPr>
                <w:rFonts w:cs="Arial"/>
                <w:szCs w:val="22"/>
              </w:rPr>
              <w:t>Progress data against the results indicators in the RRF will be collected and analysed to assess the progress of the project in achieving the agreed outputs.</w:t>
            </w:r>
          </w:p>
        </w:tc>
        <w:tc>
          <w:tcPr>
            <w:tcW w:w="2070" w:type="dxa"/>
            <w:shd w:val="clear" w:color="auto" w:fill="auto"/>
          </w:tcPr>
          <w:p w14:paraId="2F74BE5B" w14:textId="77777777" w:rsidR="001C2D1D" w:rsidRPr="009A030D" w:rsidRDefault="001C2D1D" w:rsidP="00710F87">
            <w:pPr>
              <w:spacing w:after="0"/>
              <w:jc w:val="left"/>
            </w:pPr>
            <w:r w:rsidRPr="009A030D">
              <w:t>Quarterly, or in the frequency required for each indicator.</w:t>
            </w:r>
          </w:p>
        </w:tc>
        <w:tc>
          <w:tcPr>
            <w:tcW w:w="3420" w:type="dxa"/>
            <w:shd w:val="clear" w:color="auto" w:fill="auto"/>
          </w:tcPr>
          <w:p w14:paraId="2CB78898" w14:textId="77777777" w:rsidR="001C2D1D" w:rsidRPr="009A030D" w:rsidRDefault="001C2D1D" w:rsidP="00710F87">
            <w:pPr>
              <w:spacing w:after="0"/>
              <w:jc w:val="left"/>
            </w:pPr>
            <w:r w:rsidRPr="009A030D">
              <w:rPr>
                <w:rFonts w:cs="Arial"/>
                <w:szCs w:val="22"/>
              </w:rPr>
              <w:t>Slower than expected progress will be addressed by project management.</w:t>
            </w:r>
          </w:p>
        </w:tc>
        <w:tc>
          <w:tcPr>
            <w:tcW w:w="1710" w:type="dxa"/>
            <w:shd w:val="clear" w:color="auto" w:fill="auto"/>
          </w:tcPr>
          <w:p w14:paraId="17FFF967" w14:textId="77777777" w:rsidR="001C2D1D" w:rsidRPr="009A030D" w:rsidRDefault="001C2D1D" w:rsidP="00710F87">
            <w:pPr>
              <w:spacing w:after="0"/>
            </w:pPr>
          </w:p>
        </w:tc>
        <w:tc>
          <w:tcPr>
            <w:tcW w:w="1178" w:type="dxa"/>
            <w:shd w:val="clear" w:color="auto" w:fill="auto"/>
          </w:tcPr>
          <w:p w14:paraId="520F9126" w14:textId="77777777" w:rsidR="001C2D1D" w:rsidRPr="009A030D" w:rsidRDefault="001C2D1D" w:rsidP="00710F87">
            <w:pPr>
              <w:spacing w:after="0"/>
            </w:pPr>
          </w:p>
        </w:tc>
      </w:tr>
      <w:tr w:rsidR="001C2D1D" w:rsidRPr="0063436F" w14:paraId="2AF6B9CA" w14:textId="77777777" w:rsidTr="00710F87">
        <w:tc>
          <w:tcPr>
            <w:tcW w:w="2358" w:type="dxa"/>
            <w:shd w:val="clear" w:color="auto" w:fill="auto"/>
            <w:vAlign w:val="center"/>
          </w:tcPr>
          <w:p w14:paraId="4F50A684" w14:textId="77777777" w:rsidR="001C2D1D" w:rsidRPr="009A030D" w:rsidRDefault="001C2D1D" w:rsidP="00710F87">
            <w:pPr>
              <w:spacing w:after="0"/>
              <w:jc w:val="left"/>
              <w:rPr>
                <w:b/>
              </w:rPr>
            </w:pPr>
            <w:r w:rsidRPr="009A030D">
              <w:rPr>
                <w:b/>
              </w:rPr>
              <w:t>Monitor and Manage Risk</w:t>
            </w:r>
          </w:p>
        </w:tc>
        <w:tc>
          <w:tcPr>
            <w:tcW w:w="4590" w:type="dxa"/>
            <w:shd w:val="clear" w:color="auto" w:fill="auto"/>
          </w:tcPr>
          <w:p w14:paraId="6410E8D2" w14:textId="77777777" w:rsidR="001C2D1D" w:rsidRPr="009A030D" w:rsidRDefault="001C2D1D" w:rsidP="00710F87">
            <w:pPr>
              <w:spacing w:after="0"/>
              <w:jc w:val="left"/>
              <w:rPr>
                <w:rFonts w:cs="Arial"/>
                <w:szCs w:val="22"/>
                <w:lang w:val="en-US"/>
              </w:rPr>
            </w:pPr>
            <w:r w:rsidRPr="009A030D">
              <w:t xml:space="preserve">Identify specific risks that may threaten achievement of intended results. Identify and monitor risk management actions using a risk log. </w:t>
            </w:r>
            <w:r w:rsidRPr="009A030D">
              <w:rPr>
                <w:rFonts w:cs="Arial"/>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14:paraId="77C0BC71" w14:textId="77777777" w:rsidR="001C2D1D" w:rsidRPr="009A030D" w:rsidRDefault="001C2D1D" w:rsidP="00710F87">
            <w:pPr>
              <w:spacing w:after="0"/>
              <w:jc w:val="center"/>
            </w:pPr>
            <w:r w:rsidRPr="009A030D">
              <w:t>Quarterly</w:t>
            </w:r>
          </w:p>
        </w:tc>
        <w:tc>
          <w:tcPr>
            <w:tcW w:w="3420" w:type="dxa"/>
            <w:shd w:val="clear" w:color="auto" w:fill="auto"/>
          </w:tcPr>
          <w:p w14:paraId="380A3A6E" w14:textId="77777777" w:rsidR="001C2D1D" w:rsidRPr="009A030D" w:rsidRDefault="001C2D1D" w:rsidP="00710F87">
            <w:pPr>
              <w:spacing w:after="0"/>
              <w:jc w:val="left"/>
            </w:pPr>
            <w:r w:rsidRPr="009A030D">
              <w:t>Risks are identified by project management and actions are taken to manage risk. The risk log is actively maintained to keep track of identified risks and actions taken.</w:t>
            </w:r>
          </w:p>
        </w:tc>
        <w:tc>
          <w:tcPr>
            <w:tcW w:w="1710" w:type="dxa"/>
            <w:shd w:val="clear" w:color="auto" w:fill="auto"/>
          </w:tcPr>
          <w:p w14:paraId="7B705FB4" w14:textId="77777777" w:rsidR="001C2D1D" w:rsidRPr="009A030D" w:rsidRDefault="001C2D1D" w:rsidP="00710F87">
            <w:pPr>
              <w:spacing w:after="0"/>
            </w:pPr>
          </w:p>
        </w:tc>
        <w:tc>
          <w:tcPr>
            <w:tcW w:w="1178" w:type="dxa"/>
            <w:shd w:val="clear" w:color="auto" w:fill="auto"/>
          </w:tcPr>
          <w:p w14:paraId="2114831D" w14:textId="77777777" w:rsidR="001C2D1D" w:rsidRPr="009A030D" w:rsidRDefault="001C2D1D" w:rsidP="00710F87">
            <w:pPr>
              <w:spacing w:after="0"/>
            </w:pPr>
          </w:p>
        </w:tc>
      </w:tr>
      <w:tr w:rsidR="001C2D1D" w:rsidRPr="0063436F" w14:paraId="1B9C9205" w14:textId="77777777" w:rsidTr="00710F87">
        <w:tc>
          <w:tcPr>
            <w:tcW w:w="2358" w:type="dxa"/>
            <w:shd w:val="clear" w:color="auto" w:fill="auto"/>
            <w:vAlign w:val="center"/>
          </w:tcPr>
          <w:p w14:paraId="56425472" w14:textId="77777777" w:rsidR="001C2D1D" w:rsidRPr="009A030D" w:rsidRDefault="001C2D1D" w:rsidP="00710F87">
            <w:pPr>
              <w:spacing w:after="0"/>
              <w:jc w:val="left"/>
              <w:rPr>
                <w:b/>
              </w:rPr>
            </w:pPr>
            <w:r w:rsidRPr="009A030D">
              <w:rPr>
                <w:b/>
              </w:rPr>
              <w:t xml:space="preserve">Learn </w:t>
            </w:r>
          </w:p>
        </w:tc>
        <w:tc>
          <w:tcPr>
            <w:tcW w:w="4590" w:type="dxa"/>
            <w:shd w:val="clear" w:color="auto" w:fill="auto"/>
            <w:vAlign w:val="center"/>
          </w:tcPr>
          <w:p w14:paraId="49AE7FFE" w14:textId="77777777" w:rsidR="001C2D1D" w:rsidRPr="009A030D" w:rsidRDefault="001C2D1D" w:rsidP="00710F87">
            <w:pPr>
              <w:spacing w:after="0"/>
              <w:jc w:val="left"/>
            </w:pPr>
            <w:r w:rsidRPr="009A030D">
              <w:rPr>
                <w:rFonts w:cs="Arial"/>
                <w:szCs w:val="22"/>
                <w:lang w:val="en-US"/>
              </w:rPr>
              <w:t>Knowledge, good practices and lessons will be captured regularly, as well as actively sourced from other projects and partners and integrated back into the project.</w:t>
            </w:r>
          </w:p>
        </w:tc>
        <w:tc>
          <w:tcPr>
            <w:tcW w:w="2070" w:type="dxa"/>
            <w:shd w:val="clear" w:color="auto" w:fill="auto"/>
            <w:vAlign w:val="center"/>
          </w:tcPr>
          <w:p w14:paraId="4671004D" w14:textId="77777777" w:rsidR="001C2D1D" w:rsidRPr="009A030D" w:rsidRDefault="001C2D1D" w:rsidP="00710F87">
            <w:pPr>
              <w:spacing w:after="0"/>
              <w:jc w:val="center"/>
            </w:pPr>
            <w:r w:rsidRPr="009A030D">
              <w:t>At least annually</w:t>
            </w:r>
          </w:p>
        </w:tc>
        <w:tc>
          <w:tcPr>
            <w:tcW w:w="3420" w:type="dxa"/>
            <w:shd w:val="clear" w:color="auto" w:fill="auto"/>
            <w:vAlign w:val="center"/>
          </w:tcPr>
          <w:p w14:paraId="78255952" w14:textId="77777777" w:rsidR="001C2D1D" w:rsidRPr="009A030D" w:rsidRDefault="001C2D1D" w:rsidP="00710F87">
            <w:pPr>
              <w:spacing w:after="0"/>
              <w:jc w:val="left"/>
            </w:pPr>
            <w:r w:rsidRPr="009A030D">
              <w:t>Relevant lessons are captured by the project team and used to inform management decisions.</w:t>
            </w:r>
          </w:p>
        </w:tc>
        <w:tc>
          <w:tcPr>
            <w:tcW w:w="1710" w:type="dxa"/>
            <w:shd w:val="clear" w:color="auto" w:fill="auto"/>
          </w:tcPr>
          <w:p w14:paraId="4BE08657" w14:textId="77777777" w:rsidR="001C2D1D" w:rsidRPr="009A030D" w:rsidRDefault="001C2D1D" w:rsidP="00710F87">
            <w:pPr>
              <w:spacing w:after="0"/>
            </w:pPr>
          </w:p>
        </w:tc>
        <w:tc>
          <w:tcPr>
            <w:tcW w:w="1178" w:type="dxa"/>
            <w:shd w:val="clear" w:color="auto" w:fill="auto"/>
          </w:tcPr>
          <w:p w14:paraId="7F8E92A4" w14:textId="77777777" w:rsidR="001C2D1D" w:rsidRPr="009A030D" w:rsidRDefault="001C2D1D" w:rsidP="00710F87">
            <w:pPr>
              <w:spacing w:after="0"/>
            </w:pPr>
          </w:p>
        </w:tc>
      </w:tr>
      <w:tr w:rsidR="001C2D1D" w:rsidRPr="0063436F" w14:paraId="4C0655B2" w14:textId="77777777" w:rsidTr="00710F87">
        <w:tc>
          <w:tcPr>
            <w:tcW w:w="2358" w:type="dxa"/>
            <w:shd w:val="clear" w:color="auto" w:fill="auto"/>
            <w:vAlign w:val="center"/>
          </w:tcPr>
          <w:p w14:paraId="609A87C8" w14:textId="77777777" w:rsidR="001C2D1D" w:rsidRPr="009A030D" w:rsidRDefault="001C2D1D" w:rsidP="00710F87">
            <w:pPr>
              <w:spacing w:after="0"/>
              <w:jc w:val="left"/>
              <w:rPr>
                <w:b/>
              </w:rPr>
            </w:pPr>
            <w:r w:rsidRPr="009A030D">
              <w:rPr>
                <w:b/>
              </w:rPr>
              <w:t>Annual Project Quality Assurance</w:t>
            </w:r>
          </w:p>
        </w:tc>
        <w:tc>
          <w:tcPr>
            <w:tcW w:w="4590" w:type="dxa"/>
            <w:shd w:val="clear" w:color="auto" w:fill="auto"/>
            <w:vAlign w:val="center"/>
          </w:tcPr>
          <w:p w14:paraId="2357E5D0" w14:textId="77777777" w:rsidR="001C2D1D" w:rsidRPr="009A030D" w:rsidRDefault="001C2D1D" w:rsidP="00710F87">
            <w:pPr>
              <w:spacing w:after="0"/>
              <w:jc w:val="left"/>
              <w:rPr>
                <w:rFonts w:cs="Arial"/>
                <w:szCs w:val="22"/>
                <w:lang w:val="en-US"/>
              </w:rPr>
            </w:pPr>
            <w:r w:rsidRPr="009A030D">
              <w:rPr>
                <w:rFonts w:cs="Arial"/>
                <w:szCs w:val="22"/>
              </w:rPr>
              <w:t xml:space="preserve">The quality of the project will be assessed against UNDP’s quality standards to identify project strengths and weaknesses and to </w:t>
            </w:r>
            <w:r w:rsidRPr="009A030D">
              <w:rPr>
                <w:rFonts w:cs="Arial"/>
                <w:szCs w:val="22"/>
              </w:rPr>
              <w:lastRenderedPageBreak/>
              <w:t>inform management decision making to improve the project.</w:t>
            </w:r>
          </w:p>
        </w:tc>
        <w:tc>
          <w:tcPr>
            <w:tcW w:w="2070" w:type="dxa"/>
            <w:shd w:val="clear" w:color="auto" w:fill="auto"/>
            <w:vAlign w:val="center"/>
          </w:tcPr>
          <w:p w14:paraId="7E183473" w14:textId="77777777" w:rsidR="001C2D1D" w:rsidRPr="009A030D" w:rsidRDefault="001C2D1D" w:rsidP="00710F87">
            <w:pPr>
              <w:spacing w:after="0"/>
              <w:jc w:val="center"/>
            </w:pPr>
            <w:r w:rsidRPr="009A030D">
              <w:lastRenderedPageBreak/>
              <w:t>Annually</w:t>
            </w:r>
          </w:p>
        </w:tc>
        <w:tc>
          <w:tcPr>
            <w:tcW w:w="3420" w:type="dxa"/>
            <w:shd w:val="clear" w:color="auto" w:fill="auto"/>
            <w:vAlign w:val="center"/>
          </w:tcPr>
          <w:p w14:paraId="01A12275" w14:textId="77777777" w:rsidR="001C2D1D" w:rsidRPr="009A030D" w:rsidRDefault="001C2D1D" w:rsidP="00710F87">
            <w:pPr>
              <w:spacing w:after="0"/>
              <w:jc w:val="left"/>
            </w:pPr>
            <w:r w:rsidRPr="009A030D">
              <w:t xml:space="preserve">Areas of strength and weakness will be reviewed by project management and used to </w:t>
            </w:r>
            <w:r w:rsidRPr="009A030D">
              <w:lastRenderedPageBreak/>
              <w:t>inform decisions to improve project performance.</w:t>
            </w:r>
          </w:p>
        </w:tc>
        <w:tc>
          <w:tcPr>
            <w:tcW w:w="1710" w:type="dxa"/>
            <w:shd w:val="clear" w:color="auto" w:fill="auto"/>
          </w:tcPr>
          <w:p w14:paraId="1DB38D97" w14:textId="77777777" w:rsidR="001C2D1D" w:rsidRPr="009A030D" w:rsidRDefault="001C2D1D" w:rsidP="00710F87">
            <w:pPr>
              <w:spacing w:after="0"/>
            </w:pPr>
          </w:p>
        </w:tc>
        <w:tc>
          <w:tcPr>
            <w:tcW w:w="1178" w:type="dxa"/>
            <w:shd w:val="clear" w:color="auto" w:fill="auto"/>
          </w:tcPr>
          <w:p w14:paraId="0C4B9E58" w14:textId="77777777" w:rsidR="001C2D1D" w:rsidRPr="009A030D" w:rsidRDefault="001C2D1D" w:rsidP="00710F87">
            <w:pPr>
              <w:spacing w:after="0"/>
            </w:pPr>
          </w:p>
        </w:tc>
      </w:tr>
      <w:tr w:rsidR="001C2D1D" w:rsidRPr="0063436F" w14:paraId="6AFB0503" w14:textId="77777777" w:rsidTr="00710F87">
        <w:tc>
          <w:tcPr>
            <w:tcW w:w="2358" w:type="dxa"/>
            <w:shd w:val="clear" w:color="auto" w:fill="auto"/>
            <w:vAlign w:val="center"/>
          </w:tcPr>
          <w:p w14:paraId="2A1266F1" w14:textId="77777777" w:rsidR="001C2D1D" w:rsidRPr="009A030D" w:rsidRDefault="001C2D1D" w:rsidP="00710F87">
            <w:pPr>
              <w:spacing w:after="0"/>
              <w:jc w:val="left"/>
              <w:rPr>
                <w:b/>
              </w:rPr>
            </w:pPr>
            <w:r w:rsidRPr="009A030D">
              <w:rPr>
                <w:b/>
              </w:rPr>
              <w:t>Review and Make Course Corrections</w:t>
            </w:r>
          </w:p>
        </w:tc>
        <w:tc>
          <w:tcPr>
            <w:tcW w:w="4590" w:type="dxa"/>
            <w:shd w:val="clear" w:color="auto" w:fill="auto"/>
            <w:vAlign w:val="center"/>
          </w:tcPr>
          <w:p w14:paraId="1F040278" w14:textId="77777777" w:rsidR="001C2D1D" w:rsidRPr="009A030D" w:rsidRDefault="001C2D1D" w:rsidP="00710F87">
            <w:pPr>
              <w:spacing w:after="0"/>
              <w:jc w:val="left"/>
            </w:pPr>
            <w:r w:rsidRPr="009A030D">
              <w:t>Internal review of data and evidence from all monitoring actions to inform decision making.</w:t>
            </w:r>
          </w:p>
        </w:tc>
        <w:tc>
          <w:tcPr>
            <w:tcW w:w="2070" w:type="dxa"/>
            <w:shd w:val="clear" w:color="auto" w:fill="auto"/>
            <w:vAlign w:val="center"/>
          </w:tcPr>
          <w:p w14:paraId="77DF840A" w14:textId="77777777" w:rsidR="001C2D1D" w:rsidRPr="009A030D" w:rsidRDefault="001C2D1D" w:rsidP="00710F87">
            <w:pPr>
              <w:spacing w:after="0"/>
              <w:jc w:val="center"/>
            </w:pPr>
            <w:r w:rsidRPr="009A030D">
              <w:t>At least annually</w:t>
            </w:r>
          </w:p>
        </w:tc>
        <w:tc>
          <w:tcPr>
            <w:tcW w:w="3420" w:type="dxa"/>
            <w:shd w:val="clear" w:color="auto" w:fill="auto"/>
          </w:tcPr>
          <w:p w14:paraId="54D97AA7" w14:textId="77777777" w:rsidR="001C2D1D" w:rsidRPr="009A030D" w:rsidRDefault="001C2D1D" w:rsidP="00710F87">
            <w:pPr>
              <w:spacing w:after="0"/>
              <w:jc w:val="left"/>
            </w:pPr>
            <w:r w:rsidRPr="009A030D">
              <w:t>Performance data, risks, lessons and quality will be discussed by the project board and used to make course corrections.</w:t>
            </w:r>
          </w:p>
        </w:tc>
        <w:tc>
          <w:tcPr>
            <w:tcW w:w="1710" w:type="dxa"/>
            <w:shd w:val="clear" w:color="auto" w:fill="auto"/>
          </w:tcPr>
          <w:p w14:paraId="36433ECC" w14:textId="77777777" w:rsidR="001C2D1D" w:rsidRPr="009A030D" w:rsidRDefault="001C2D1D" w:rsidP="00710F87">
            <w:pPr>
              <w:spacing w:after="0"/>
            </w:pPr>
          </w:p>
        </w:tc>
        <w:tc>
          <w:tcPr>
            <w:tcW w:w="1178" w:type="dxa"/>
            <w:shd w:val="clear" w:color="auto" w:fill="auto"/>
          </w:tcPr>
          <w:p w14:paraId="4CCCE1B0" w14:textId="77777777" w:rsidR="001C2D1D" w:rsidRPr="009A030D" w:rsidRDefault="001C2D1D" w:rsidP="00710F87">
            <w:pPr>
              <w:spacing w:after="0"/>
            </w:pPr>
          </w:p>
        </w:tc>
      </w:tr>
      <w:tr w:rsidR="001C2D1D" w:rsidRPr="0063436F" w14:paraId="1168CC87" w14:textId="77777777" w:rsidTr="00710F87">
        <w:tc>
          <w:tcPr>
            <w:tcW w:w="2358" w:type="dxa"/>
            <w:shd w:val="clear" w:color="auto" w:fill="auto"/>
            <w:vAlign w:val="center"/>
          </w:tcPr>
          <w:p w14:paraId="3AFC2965" w14:textId="77777777" w:rsidR="001C2D1D" w:rsidRPr="009A030D" w:rsidRDefault="001C2D1D" w:rsidP="00710F87">
            <w:pPr>
              <w:spacing w:after="0"/>
              <w:jc w:val="left"/>
              <w:rPr>
                <w:b/>
              </w:rPr>
            </w:pPr>
            <w:r w:rsidRPr="009A030D">
              <w:rPr>
                <w:b/>
              </w:rPr>
              <w:t>Project Report</w:t>
            </w:r>
          </w:p>
        </w:tc>
        <w:tc>
          <w:tcPr>
            <w:tcW w:w="4590" w:type="dxa"/>
            <w:shd w:val="clear" w:color="auto" w:fill="auto"/>
            <w:vAlign w:val="center"/>
          </w:tcPr>
          <w:p w14:paraId="76CCD158" w14:textId="77777777" w:rsidR="001C2D1D" w:rsidRPr="009A030D" w:rsidRDefault="001C2D1D" w:rsidP="00710F87">
            <w:pPr>
              <w:spacing w:after="0"/>
              <w:jc w:val="left"/>
            </w:pPr>
            <w:r w:rsidRPr="009A030D">
              <w:rPr>
                <w:rFonts w:cs="Arial"/>
                <w:szCs w:val="22"/>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70" w:type="dxa"/>
            <w:shd w:val="clear" w:color="auto" w:fill="auto"/>
            <w:vAlign w:val="center"/>
          </w:tcPr>
          <w:p w14:paraId="2A880C04" w14:textId="77777777" w:rsidR="001C2D1D" w:rsidRPr="009A030D" w:rsidRDefault="001C2D1D" w:rsidP="00710F87">
            <w:pPr>
              <w:spacing w:after="0"/>
              <w:jc w:val="center"/>
            </w:pPr>
            <w:r w:rsidRPr="009A030D">
              <w:t>Annually, and at the end of the project (final report)</w:t>
            </w:r>
          </w:p>
        </w:tc>
        <w:tc>
          <w:tcPr>
            <w:tcW w:w="3420" w:type="dxa"/>
            <w:shd w:val="clear" w:color="auto" w:fill="auto"/>
          </w:tcPr>
          <w:p w14:paraId="4041B06C" w14:textId="77777777" w:rsidR="001C2D1D" w:rsidRPr="009A030D" w:rsidRDefault="001C2D1D" w:rsidP="00710F87">
            <w:pPr>
              <w:spacing w:after="0"/>
            </w:pPr>
          </w:p>
        </w:tc>
        <w:tc>
          <w:tcPr>
            <w:tcW w:w="1710" w:type="dxa"/>
            <w:shd w:val="clear" w:color="auto" w:fill="auto"/>
          </w:tcPr>
          <w:p w14:paraId="3319F734" w14:textId="77777777" w:rsidR="001C2D1D" w:rsidRPr="009A030D" w:rsidRDefault="001C2D1D" w:rsidP="00710F87">
            <w:pPr>
              <w:spacing w:after="0"/>
            </w:pPr>
          </w:p>
        </w:tc>
        <w:tc>
          <w:tcPr>
            <w:tcW w:w="1178" w:type="dxa"/>
            <w:shd w:val="clear" w:color="auto" w:fill="auto"/>
          </w:tcPr>
          <w:p w14:paraId="062D42D0" w14:textId="77777777" w:rsidR="001C2D1D" w:rsidRPr="009A030D" w:rsidRDefault="001C2D1D" w:rsidP="00710F87">
            <w:pPr>
              <w:spacing w:after="0"/>
            </w:pPr>
          </w:p>
        </w:tc>
      </w:tr>
      <w:tr w:rsidR="001C2D1D" w14:paraId="578BF1CE" w14:textId="77777777" w:rsidTr="00710F87">
        <w:tc>
          <w:tcPr>
            <w:tcW w:w="2358" w:type="dxa"/>
            <w:shd w:val="clear" w:color="auto" w:fill="auto"/>
            <w:vAlign w:val="center"/>
          </w:tcPr>
          <w:p w14:paraId="7C7B1BE6" w14:textId="77777777" w:rsidR="001C2D1D" w:rsidRPr="009A030D" w:rsidRDefault="001C2D1D" w:rsidP="00710F87">
            <w:pPr>
              <w:spacing w:after="0"/>
              <w:jc w:val="left"/>
              <w:rPr>
                <w:b/>
              </w:rPr>
            </w:pPr>
            <w:r w:rsidRPr="009A030D">
              <w:rPr>
                <w:b/>
              </w:rPr>
              <w:t>Project Review (Project Board)</w:t>
            </w:r>
          </w:p>
        </w:tc>
        <w:tc>
          <w:tcPr>
            <w:tcW w:w="4590" w:type="dxa"/>
            <w:shd w:val="clear" w:color="auto" w:fill="auto"/>
            <w:vAlign w:val="center"/>
          </w:tcPr>
          <w:p w14:paraId="19EA43FD" w14:textId="77777777" w:rsidR="001C2D1D" w:rsidRPr="009A030D" w:rsidRDefault="001C2D1D" w:rsidP="00710F87">
            <w:pPr>
              <w:spacing w:after="0"/>
              <w:jc w:val="left"/>
            </w:pPr>
            <w:r w:rsidRPr="009A030D">
              <w:rPr>
                <w:rFonts w:cs="Arial"/>
                <w:szCs w:val="22"/>
                <w:lang w:val="en-US"/>
              </w:rPr>
              <w:t xml:space="preserve">The project’s governance mechanism (i.e., project board) will hold regular project reviews to assess the performance of the project and review the Multi-Year Work Plan to ensure realistic budgeting over the life of the project. </w:t>
            </w:r>
            <w:r w:rsidRPr="009A030D">
              <w:rPr>
                <w:szCs w:val="22"/>
              </w:rPr>
              <w:t>In the project’s final year, the Project Board shall hold an end-of project review to capture lessons learned and discuss opportunities for scaling up and to socialize project results and lessons learned with relevant audiences.</w:t>
            </w:r>
          </w:p>
        </w:tc>
        <w:tc>
          <w:tcPr>
            <w:tcW w:w="2070" w:type="dxa"/>
            <w:shd w:val="clear" w:color="auto" w:fill="auto"/>
            <w:vAlign w:val="center"/>
          </w:tcPr>
          <w:p w14:paraId="4B3EF715" w14:textId="77777777" w:rsidR="001C2D1D" w:rsidRPr="009A030D" w:rsidRDefault="001C2D1D" w:rsidP="00710F87">
            <w:pPr>
              <w:spacing w:after="0"/>
              <w:jc w:val="center"/>
            </w:pPr>
            <w:r w:rsidRPr="009A030D">
              <w:t>Specify frequency (i.e., at least annually)</w:t>
            </w:r>
          </w:p>
        </w:tc>
        <w:tc>
          <w:tcPr>
            <w:tcW w:w="3420" w:type="dxa"/>
            <w:shd w:val="clear" w:color="auto" w:fill="auto"/>
            <w:vAlign w:val="center"/>
          </w:tcPr>
          <w:p w14:paraId="4999C6FB" w14:textId="77777777" w:rsidR="001C2D1D" w:rsidRPr="009A030D" w:rsidRDefault="001C2D1D" w:rsidP="00710F87">
            <w:pPr>
              <w:jc w:val="left"/>
              <w:rPr>
                <w:b/>
                <w:szCs w:val="22"/>
              </w:rPr>
            </w:pPr>
            <w:r w:rsidRPr="009A030D">
              <w:rPr>
                <w:rFonts w:cs="Arial"/>
                <w:szCs w:val="22"/>
                <w:lang w:val="en-US"/>
              </w:rPr>
              <w:t xml:space="preserve">Any quality concerns or slower than expected progress should be discussed by the project board and management actions agreed to address the issues identified. </w:t>
            </w:r>
          </w:p>
        </w:tc>
        <w:tc>
          <w:tcPr>
            <w:tcW w:w="1710" w:type="dxa"/>
            <w:shd w:val="clear" w:color="auto" w:fill="auto"/>
          </w:tcPr>
          <w:p w14:paraId="2B7369AB" w14:textId="77777777" w:rsidR="001C2D1D" w:rsidRPr="009A030D" w:rsidRDefault="001C2D1D" w:rsidP="00710F87">
            <w:pPr>
              <w:spacing w:after="0"/>
            </w:pPr>
          </w:p>
        </w:tc>
        <w:tc>
          <w:tcPr>
            <w:tcW w:w="1178" w:type="dxa"/>
            <w:shd w:val="clear" w:color="auto" w:fill="auto"/>
          </w:tcPr>
          <w:p w14:paraId="05A9A0D6" w14:textId="77777777" w:rsidR="001C2D1D" w:rsidRPr="009A030D" w:rsidRDefault="001C2D1D" w:rsidP="00710F87">
            <w:pPr>
              <w:spacing w:after="0"/>
            </w:pPr>
          </w:p>
        </w:tc>
      </w:tr>
    </w:tbl>
    <w:p w14:paraId="2EC8514A" w14:textId="77777777" w:rsidR="001C2D1D" w:rsidRDefault="001C2D1D" w:rsidP="001C2D1D"/>
    <w:p w14:paraId="55E35B79" w14:textId="77777777" w:rsidR="001C2D1D" w:rsidRDefault="001C2D1D" w:rsidP="001C2D1D"/>
    <w:p w14:paraId="0E3917C3" w14:textId="77777777" w:rsidR="001C2D1D" w:rsidRPr="00F82BB6" w:rsidRDefault="001C2D1D" w:rsidP="001C2D1D">
      <w:pPr>
        <w:rPr>
          <w:b/>
          <w:sz w:val="24"/>
        </w:rPr>
      </w:pPr>
      <w:r w:rsidRPr="00F82BB6">
        <w:rPr>
          <w:b/>
          <w:sz w:val="24"/>
        </w:rPr>
        <w:t>Evaluation Plan</w:t>
      </w:r>
      <w:r>
        <w:rPr>
          <w:rStyle w:val="FootnoteReference"/>
          <w:b/>
        </w:rPr>
        <w:footnoteReference w:id="21"/>
      </w:r>
      <w:r>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1C2D1D" w14:paraId="6CBFB97C" w14:textId="77777777" w:rsidTr="00710F87">
        <w:trPr>
          <w:trHeight w:val="422"/>
        </w:trPr>
        <w:tc>
          <w:tcPr>
            <w:tcW w:w="2988" w:type="dxa"/>
            <w:shd w:val="clear" w:color="auto" w:fill="auto"/>
            <w:vAlign w:val="center"/>
          </w:tcPr>
          <w:p w14:paraId="3F514F69" w14:textId="77777777" w:rsidR="001C2D1D" w:rsidRPr="00C72787" w:rsidRDefault="001C2D1D" w:rsidP="00710F87">
            <w:pPr>
              <w:jc w:val="center"/>
              <w:rPr>
                <w:b/>
              </w:rPr>
            </w:pPr>
            <w:r w:rsidRPr="00C72787">
              <w:rPr>
                <w:b/>
              </w:rPr>
              <w:t>Evaluation Title</w:t>
            </w:r>
          </w:p>
        </w:tc>
        <w:tc>
          <w:tcPr>
            <w:tcW w:w="2340" w:type="dxa"/>
            <w:shd w:val="clear" w:color="auto" w:fill="auto"/>
            <w:vAlign w:val="center"/>
          </w:tcPr>
          <w:p w14:paraId="2D603222" w14:textId="77777777" w:rsidR="001C2D1D" w:rsidRPr="00C72787" w:rsidRDefault="001C2D1D" w:rsidP="00710F87">
            <w:pPr>
              <w:jc w:val="center"/>
              <w:rPr>
                <w:b/>
              </w:rPr>
            </w:pPr>
            <w:r w:rsidRPr="00C72787">
              <w:rPr>
                <w:b/>
              </w:rPr>
              <w:t>Partners (if joint)</w:t>
            </w:r>
          </w:p>
        </w:tc>
        <w:tc>
          <w:tcPr>
            <w:tcW w:w="1530" w:type="dxa"/>
            <w:shd w:val="clear" w:color="auto" w:fill="auto"/>
            <w:vAlign w:val="center"/>
          </w:tcPr>
          <w:p w14:paraId="5E7004A9" w14:textId="77777777" w:rsidR="001C2D1D" w:rsidRPr="00C72787" w:rsidRDefault="001C2D1D" w:rsidP="00710F87">
            <w:pPr>
              <w:jc w:val="center"/>
              <w:rPr>
                <w:b/>
              </w:rPr>
            </w:pPr>
            <w:r w:rsidRPr="00C72787">
              <w:rPr>
                <w:b/>
              </w:rPr>
              <w:t>Related Strategic Plan Output</w:t>
            </w:r>
          </w:p>
        </w:tc>
        <w:tc>
          <w:tcPr>
            <w:tcW w:w="1890" w:type="dxa"/>
            <w:shd w:val="clear" w:color="auto" w:fill="auto"/>
            <w:vAlign w:val="center"/>
          </w:tcPr>
          <w:p w14:paraId="0A6FBE16" w14:textId="77777777" w:rsidR="001C2D1D" w:rsidRPr="00C72787" w:rsidRDefault="001C2D1D" w:rsidP="00710F87">
            <w:pPr>
              <w:jc w:val="center"/>
              <w:rPr>
                <w:b/>
              </w:rPr>
            </w:pPr>
            <w:r w:rsidRPr="00C72787">
              <w:rPr>
                <w:b/>
              </w:rPr>
              <w:t>UNDAF/CPD Outcome</w:t>
            </w:r>
          </w:p>
        </w:tc>
        <w:tc>
          <w:tcPr>
            <w:tcW w:w="1710" w:type="dxa"/>
            <w:shd w:val="clear" w:color="auto" w:fill="auto"/>
            <w:vAlign w:val="center"/>
          </w:tcPr>
          <w:p w14:paraId="7BDBFAAD" w14:textId="77777777" w:rsidR="001C2D1D" w:rsidRPr="00C72787" w:rsidRDefault="001C2D1D" w:rsidP="00710F87">
            <w:pPr>
              <w:jc w:val="center"/>
              <w:rPr>
                <w:b/>
              </w:rPr>
            </w:pPr>
            <w:r w:rsidRPr="00C72787">
              <w:rPr>
                <w:b/>
              </w:rPr>
              <w:t>Planned Completion Date</w:t>
            </w:r>
          </w:p>
        </w:tc>
        <w:tc>
          <w:tcPr>
            <w:tcW w:w="1980" w:type="dxa"/>
            <w:shd w:val="clear" w:color="auto" w:fill="auto"/>
            <w:vAlign w:val="center"/>
          </w:tcPr>
          <w:p w14:paraId="412CB0E4" w14:textId="77777777" w:rsidR="001C2D1D" w:rsidRPr="00C72787" w:rsidRDefault="001C2D1D" w:rsidP="00710F87">
            <w:pPr>
              <w:jc w:val="center"/>
              <w:rPr>
                <w:b/>
              </w:rPr>
            </w:pPr>
            <w:r w:rsidRPr="00C72787">
              <w:rPr>
                <w:b/>
              </w:rPr>
              <w:t>Key Evaluation Stakeholders</w:t>
            </w:r>
          </w:p>
        </w:tc>
        <w:tc>
          <w:tcPr>
            <w:tcW w:w="1980" w:type="dxa"/>
            <w:shd w:val="clear" w:color="auto" w:fill="auto"/>
            <w:vAlign w:val="center"/>
          </w:tcPr>
          <w:p w14:paraId="6A8ADFFC" w14:textId="77777777" w:rsidR="001C2D1D" w:rsidRPr="00C72787" w:rsidRDefault="001C2D1D" w:rsidP="00710F87">
            <w:pPr>
              <w:jc w:val="center"/>
              <w:rPr>
                <w:b/>
              </w:rPr>
            </w:pPr>
            <w:r w:rsidRPr="00C72787">
              <w:rPr>
                <w:b/>
              </w:rPr>
              <w:t>Cost and Source of Funding</w:t>
            </w:r>
          </w:p>
        </w:tc>
      </w:tr>
      <w:tr w:rsidR="001C2D1D" w14:paraId="1DF2A11E" w14:textId="77777777" w:rsidTr="00710F87">
        <w:trPr>
          <w:trHeight w:val="440"/>
        </w:trPr>
        <w:tc>
          <w:tcPr>
            <w:tcW w:w="2988" w:type="dxa"/>
            <w:shd w:val="clear" w:color="auto" w:fill="auto"/>
            <w:vAlign w:val="center"/>
          </w:tcPr>
          <w:p w14:paraId="123BBC51" w14:textId="77777777" w:rsidR="001C2D1D" w:rsidRDefault="001C2D1D" w:rsidP="00710F87">
            <w:pPr>
              <w:jc w:val="center"/>
            </w:pPr>
            <w:r>
              <w:lastRenderedPageBreak/>
              <w:t>e.g., Mid-Term Evaluation</w:t>
            </w:r>
          </w:p>
        </w:tc>
        <w:tc>
          <w:tcPr>
            <w:tcW w:w="2340" w:type="dxa"/>
            <w:shd w:val="clear" w:color="auto" w:fill="auto"/>
            <w:vAlign w:val="center"/>
          </w:tcPr>
          <w:p w14:paraId="18B4230E" w14:textId="77777777" w:rsidR="001C2D1D" w:rsidRDefault="001C2D1D" w:rsidP="00710F87">
            <w:pPr>
              <w:jc w:val="center"/>
            </w:pPr>
          </w:p>
        </w:tc>
        <w:tc>
          <w:tcPr>
            <w:tcW w:w="1530" w:type="dxa"/>
            <w:shd w:val="clear" w:color="auto" w:fill="auto"/>
            <w:vAlign w:val="center"/>
          </w:tcPr>
          <w:p w14:paraId="51B18955" w14:textId="77777777" w:rsidR="001C2D1D" w:rsidRDefault="001C2D1D" w:rsidP="00710F87">
            <w:pPr>
              <w:jc w:val="center"/>
            </w:pPr>
          </w:p>
        </w:tc>
        <w:tc>
          <w:tcPr>
            <w:tcW w:w="1890" w:type="dxa"/>
            <w:shd w:val="clear" w:color="auto" w:fill="auto"/>
            <w:vAlign w:val="center"/>
          </w:tcPr>
          <w:p w14:paraId="22EE5307" w14:textId="77777777" w:rsidR="001C2D1D" w:rsidRDefault="001C2D1D" w:rsidP="00710F87">
            <w:pPr>
              <w:jc w:val="center"/>
            </w:pPr>
          </w:p>
        </w:tc>
        <w:tc>
          <w:tcPr>
            <w:tcW w:w="1710" w:type="dxa"/>
            <w:shd w:val="clear" w:color="auto" w:fill="auto"/>
            <w:vAlign w:val="center"/>
          </w:tcPr>
          <w:p w14:paraId="2BF40285" w14:textId="77777777" w:rsidR="001C2D1D" w:rsidRDefault="001C2D1D" w:rsidP="00710F87">
            <w:pPr>
              <w:jc w:val="center"/>
            </w:pPr>
          </w:p>
        </w:tc>
        <w:tc>
          <w:tcPr>
            <w:tcW w:w="1980" w:type="dxa"/>
            <w:shd w:val="clear" w:color="auto" w:fill="auto"/>
            <w:vAlign w:val="center"/>
          </w:tcPr>
          <w:p w14:paraId="4B116D06" w14:textId="77777777" w:rsidR="001C2D1D" w:rsidRDefault="001C2D1D" w:rsidP="00710F87">
            <w:pPr>
              <w:jc w:val="center"/>
            </w:pPr>
          </w:p>
        </w:tc>
        <w:tc>
          <w:tcPr>
            <w:tcW w:w="1980" w:type="dxa"/>
            <w:shd w:val="clear" w:color="auto" w:fill="auto"/>
            <w:vAlign w:val="center"/>
          </w:tcPr>
          <w:p w14:paraId="76906EAC" w14:textId="77777777" w:rsidR="001C2D1D" w:rsidRDefault="001C2D1D" w:rsidP="00710F87">
            <w:pPr>
              <w:jc w:val="center"/>
            </w:pPr>
          </w:p>
        </w:tc>
      </w:tr>
    </w:tbl>
    <w:p w14:paraId="001BAD48" w14:textId="77777777" w:rsidR="001C2D1D" w:rsidRDefault="001C2D1D" w:rsidP="001C2D1D">
      <w:pPr>
        <w:sectPr w:rsidR="001C2D1D" w:rsidSect="00955924">
          <w:pgSz w:w="16838" w:h="11906" w:orient="landscape" w:code="9"/>
          <w:pgMar w:top="1152" w:right="864" w:bottom="1152" w:left="864" w:header="720" w:footer="432" w:gutter="0"/>
          <w:cols w:space="708"/>
          <w:titlePg/>
          <w:docGrid w:linePitch="360"/>
        </w:sectPr>
      </w:pPr>
    </w:p>
    <w:p w14:paraId="40D34B2B" w14:textId="77777777" w:rsidR="001C2D1D" w:rsidRDefault="001C2D1D" w:rsidP="001C2D1D">
      <w:pPr>
        <w:pStyle w:val="Heading1"/>
        <w:spacing w:after="120"/>
      </w:pPr>
      <w:r>
        <w:lastRenderedPageBreak/>
        <w:t xml:space="preserve">Multi-Year </w:t>
      </w:r>
      <w:r w:rsidRPr="00905FEF">
        <w:t xml:space="preserve">Work Plan </w:t>
      </w:r>
      <w:r>
        <w:rPr>
          <w:rStyle w:val="FootnoteReference"/>
        </w:rPr>
        <w:footnoteReference w:id="22"/>
      </w:r>
      <w:r>
        <w:rPr>
          <w:rStyle w:val="FootnoteReference"/>
        </w:rPr>
        <w:footnoteReference w:id="23"/>
      </w:r>
    </w:p>
    <w:p w14:paraId="04F78A51" w14:textId="77777777" w:rsidR="001C2D1D" w:rsidRDefault="001C2D1D" w:rsidP="001C2D1D">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p>
    <w:p w14:paraId="2781F130" w14:textId="77777777" w:rsidR="001C2D1D" w:rsidRDefault="001C2D1D" w:rsidP="001C2D1D">
      <w:pPr>
        <w:rPr>
          <w:rFonts w:ascii="Calibri" w:hAnsi="Calibri"/>
          <w:iCs/>
        </w:rPr>
      </w:pPr>
    </w:p>
    <w:tbl>
      <w:tblPr>
        <w:tblW w:w="995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869"/>
        <w:gridCol w:w="630"/>
        <w:gridCol w:w="630"/>
        <w:gridCol w:w="990"/>
        <w:gridCol w:w="810"/>
        <w:gridCol w:w="2160"/>
        <w:gridCol w:w="1260"/>
      </w:tblGrid>
      <w:tr w:rsidR="00DF73CE" w:rsidRPr="00D61A7A" w14:paraId="0069B6E6" w14:textId="77777777" w:rsidTr="00F95136">
        <w:tc>
          <w:tcPr>
            <w:tcW w:w="1608" w:type="dxa"/>
            <w:vMerge w:val="restart"/>
            <w:shd w:val="clear" w:color="auto" w:fill="FFFF99"/>
            <w:vAlign w:val="center"/>
            <w:hideMark/>
          </w:tcPr>
          <w:p w14:paraId="3F0E74E9" w14:textId="77777777" w:rsidR="00D61A7A" w:rsidRPr="00D61A7A" w:rsidRDefault="00D61A7A" w:rsidP="00D61A7A">
            <w:pPr>
              <w:spacing w:after="0"/>
              <w:jc w:val="center"/>
              <w:rPr>
                <w:rFonts w:cs="Arial"/>
                <w:b/>
                <w:bCs/>
                <w:color w:val="000000"/>
                <w:sz w:val="18"/>
                <w:szCs w:val="18"/>
                <w:lang w:val="en-US"/>
              </w:rPr>
            </w:pPr>
            <w:r w:rsidRPr="00D61A7A">
              <w:rPr>
                <w:rFonts w:cs="Arial"/>
                <w:b/>
                <w:bCs/>
                <w:color w:val="000000"/>
                <w:sz w:val="18"/>
              </w:rPr>
              <w:t>EXPECTED OUTPUTS</w:t>
            </w:r>
          </w:p>
        </w:tc>
        <w:tc>
          <w:tcPr>
            <w:tcW w:w="1869" w:type="dxa"/>
            <w:vMerge w:val="restart"/>
            <w:shd w:val="clear" w:color="auto" w:fill="FFFF99"/>
            <w:vAlign w:val="center"/>
            <w:hideMark/>
          </w:tcPr>
          <w:p w14:paraId="28A7EA82" w14:textId="77777777" w:rsidR="00D61A7A" w:rsidRPr="00D61A7A" w:rsidRDefault="00D61A7A" w:rsidP="00D61A7A">
            <w:pPr>
              <w:spacing w:after="0"/>
              <w:jc w:val="center"/>
              <w:rPr>
                <w:rFonts w:cs="Arial"/>
                <w:b/>
                <w:bCs/>
                <w:color w:val="000000"/>
                <w:sz w:val="18"/>
                <w:szCs w:val="18"/>
                <w:lang w:val="en-US"/>
              </w:rPr>
            </w:pPr>
            <w:r w:rsidRPr="00D61A7A">
              <w:rPr>
                <w:rFonts w:cs="Arial"/>
                <w:b/>
                <w:bCs/>
                <w:color w:val="000000"/>
                <w:sz w:val="18"/>
              </w:rPr>
              <w:t>PLANNED ACTIVITIES</w:t>
            </w:r>
          </w:p>
        </w:tc>
        <w:tc>
          <w:tcPr>
            <w:tcW w:w="1260" w:type="dxa"/>
            <w:gridSpan w:val="2"/>
            <w:shd w:val="clear" w:color="auto" w:fill="FFFF99"/>
            <w:vAlign w:val="center"/>
            <w:hideMark/>
          </w:tcPr>
          <w:p w14:paraId="4CDC4B3A" w14:textId="77777777" w:rsidR="00D61A7A" w:rsidRPr="00D61A7A" w:rsidRDefault="00D61A7A" w:rsidP="00D61A7A">
            <w:pPr>
              <w:spacing w:after="0"/>
              <w:jc w:val="center"/>
              <w:rPr>
                <w:rFonts w:cs="Arial"/>
                <w:b/>
                <w:bCs/>
                <w:color w:val="000000"/>
                <w:sz w:val="18"/>
                <w:szCs w:val="18"/>
                <w:lang w:val="en-US"/>
              </w:rPr>
            </w:pPr>
            <w:r w:rsidRPr="00D61A7A">
              <w:rPr>
                <w:rFonts w:cs="Arial"/>
                <w:b/>
                <w:bCs/>
                <w:color w:val="000000"/>
                <w:sz w:val="18"/>
              </w:rPr>
              <w:t>Planned Budget by Year</w:t>
            </w:r>
          </w:p>
        </w:tc>
        <w:tc>
          <w:tcPr>
            <w:tcW w:w="990" w:type="dxa"/>
            <w:shd w:val="clear" w:color="auto" w:fill="FFFF99"/>
            <w:vAlign w:val="center"/>
            <w:hideMark/>
          </w:tcPr>
          <w:p w14:paraId="3A3ECD48" w14:textId="77777777" w:rsidR="00D61A7A" w:rsidRPr="00D61A7A" w:rsidRDefault="00D61A7A" w:rsidP="00D61A7A">
            <w:pPr>
              <w:spacing w:after="0"/>
              <w:jc w:val="center"/>
              <w:rPr>
                <w:rFonts w:cs="Arial"/>
                <w:b/>
                <w:bCs/>
                <w:color w:val="000000"/>
                <w:sz w:val="18"/>
                <w:szCs w:val="18"/>
                <w:lang w:val="en-US"/>
              </w:rPr>
            </w:pPr>
            <w:r w:rsidRPr="00D61A7A">
              <w:rPr>
                <w:rFonts w:cs="Arial"/>
                <w:b/>
                <w:bCs/>
                <w:color w:val="000000"/>
                <w:sz w:val="18"/>
              </w:rPr>
              <w:t>RESPONSIBLE PARTY</w:t>
            </w:r>
          </w:p>
        </w:tc>
        <w:tc>
          <w:tcPr>
            <w:tcW w:w="4230" w:type="dxa"/>
            <w:gridSpan w:val="3"/>
            <w:shd w:val="clear" w:color="auto" w:fill="FFFF99"/>
            <w:vAlign w:val="center"/>
            <w:hideMark/>
          </w:tcPr>
          <w:p w14:paraId="16561B80" w14:textId="77777777" w:rsidR="00D61A7A" w:rsidRPr="00D61A7A" w:rsidRDefault="00D61A7A" w:rsidP="00D61A7A">
            <w:pPr>
              <w:spacing w:after="0"/>
              <w:jc w:val="center"/>
              <w:rPr>
                <w:rFonts w:cs="Arial"/>
                <w:b/>
                <w:bCs/>
                <w:color w:val="000000"/>
                <w:sz w:val="18"/>
                <w:szCs w:val="18"/>
                <w:lang w:val="en-US"/>
              </w:rPr>
            </w:pPr>
            <w:r w:rsidRPr="00D61A7A">
              <w:rPr>
                <w:rFonts w:cs="Arial"/>
                <w:b/>
                <w:bCs/>
                <w:color w:val="000000"/>
                <w:sz w:val="18"/>
              </w:rPr>
              <w:t>PLANNED BUDGET</w:t>
            </w:r>
          </w:p>
        </w:tc>
      </w:tr>
      <w:tr w:rsidR="00DF73CE" w:rsidRPr="00D61A7A" w14:paraId="037065F7" w14:textId="77777777" w:rsidTr="00F95136">
        <w:tc>
          <w:tcPr>
            <w:tcW w:w="1608" w:type="dxa"/>
            <w:vMerge/>
            <w:vAlign w:val="center"/>
            <w:hideMark/>
          </w:tcPr>
          <w:p w14:paraId="729A4E46" w14:textId="77777777" w:rsidR="00D61A7A" w:rsidRPr="00D61A7A" w:rsidRDefault="00D61A7A" w:rsidP="00D61A7A">
            <w:pPr>
              <w:spacing w:after="0"/>
              <w:jc w:val="left"/>
              <w:rPr>
                <w:rFonts w:cs="Arial"/>
                <w:b/>
                <w:bCs/>
                <w:color w:val="000000"/>
                <w:sz w:val="18"/>
                <w:szCs w:val="18"/>
                <w:lang w:val="en-US"/>
              </w:rPr>
            </w:pPr>
          </w:p>
        </w:tc>
        <w:tc>
          <w:tcPr>
            <w:tcW w:w="1869" w:type="dxa"/>
            <w:vMerge/>
            <w:vAlign w:val="center"/>
            <w:hideMark/>
          </w:tcPr>
          <w:p w14:paraId="24B9C087" w14:textId="77777777" w:rsidR="00D61A7A" w:rsidRPr="00D61A7A" w:rsidRDefault="00D61A7A" w:rsidP="00D61A7A">
            <w:pPr>
              <w:spacing w:after="0"/>
              <w:jc w:val="left"/>
              <w:rPr>
                <w:rFonts w:cs="Arial"/>
                <w:b/>
                <w:bCs/>
                <w:color w:val="000000"/>
                <w:sz w:val="18"/>
                <w:szCs w:val="18"/>
                <w:lang w:val="en-US"/>
              </w:rPr>
            </w:pPr>
          </w:p>
        </w:tc>
        <w:tc>
          <w:tcPr>
            <w:tcW w:w="630" w:type="dxa"/>
            <w:shd w:val="clear" w:color="auto" w:fill="FFFF99"/>
            <w:vAlign w:val="center"/>
            <w:hideMark/>
          </w:tcPr>
          <w:p w14:paraId="051BCEE4" w14:textId="67DA7B18" w:rsidR="00D61A7A" w:rsidRPr="00D61A7A" w:rsidRDefault="00D61A7A" w:rsidP="00D61A7A">
            <w:pPr>
              <w:spacing w:after="0"/>
              <w:jc w:val="center"/>
              <w:rPr>
                <w:rFonts w:cs="Arial"/>
                <w:color w:val="000000"/>
                <w:sz w:val="16"/>
                <w:szCs w:val="16"/>
                <w:lang w:val="en-US"/>
              </w:rPr>
            </w:pPr>
            <w:r w:rsidRPr="00D61A7A">
              <w:rPr>
                <w:rFonts w:cs="Arial"/>
                <w:color w:val="000000"/>
                <w:sz w:val="16"/>
              </w:rPr>
              <w:t>20</w:t>
            </w:r>
            <w:r w:rsidR="00F4678E">
              <w:rPr>
                <w:rFonts w:cs="Arial"/>
                <w:color w:val="000000"/>
                <w:sz w:val="16"/>
              </w:rPr>
              <w:t>20</w:t>
            </w:r>
          </w:p>
        </w:tc>
        <w:tc>
          <w:tcPr>
            <w:tcW w:w="630" w:type="dxa"/>
            <w:shd w:val="clear" w:color="auto" w:fill="FFFF99"/>
            <w:vAlign w:val="center"/>
            <w:hideMark/>
          </w:tcPr>
          <w:p w14:paraId="16DCBE1F" w14:textId="0049BB21" w:rsidR="00D61A7A" w:rsidRPr="00D61A7A" w:rsidRDefault="00D61A7A" w:rsidP="00D61A7A">
            <w:pPr>
              <w:spacing w:after="0"/>
              <w:jc w:val="center"/>
              <w:rPr>
                <w:rFonts w:cs="Arial"/>
                <w:color w:val="000000"/>
                <w:sz w:val="16"/>
                <w:szCs w:val="16"/>
                <w:lang w:val="en-US"/>
              </w:rPr>
            </w:pPr>
            <w:r w:rsidRPr="00D61A7A">
              <w:rPr>
                <w:rFonts w:cs="Arial"/>
                <w:color w:val="000000"/>
                <w:sz w:val="16"/>
              </w:rPr>
              <w:t>202</w:t>
            </w:r>
            <w:r w:rsidR="00F4678E">
              <w:rPr>
                <w:rFonts w:cs="Arial"/>
                <w:color w:val="000000"/>
                <w:sz w:val="16"/>
              </w:rPr>
              <w:t>1</w:t>
            </w:r>
          </w:p>
        </w:tc>
        <w:tc>
          <w:tcPr>
            <w:tcW w:w="990" w:type="dxa"/>
            <w:shd w:val="clear" w:color="auto" w:fill="FFFF99"/>
            <w:vAlign w:val="center"/>
            <w:hideMark/>
          </w:tcPr>
          <w:p w14:paraId="2D767511" w14:textId="77777777" w:rsidR="00D61A7A" w:rsidRPr="00D61A7A" w:rsidRDefault="00D61A7A" w:rsidP="00D61A7A">
            <w:pPr>
              <w:spacing w:after="0"/>
              <w:jc w:val="left"/>
              <w:rPr>
                <w:rFonts w:cs="Arial"/>
                <w:b/>
                <w:bCs/>
                <w:color w:val="000000"/>
                <w:sz w:val="18"/>
                <w:szCs w:val="18"/>
                <w:lang w:val="en-US"/>
              </w:rPr>
            </w:pPr>
          </w:p>
        </w:tc>
        <w:tc>
          <w:tcPr>
            <w:tcW w:w="810" w:type="dxa"/>
            <w:shd w:val="clear" w:color="auto" w:fill="FFFF99"/>
            <w:vAlign w:val="center"/>
            <w:hideMark/>
          </w:tcPr>
          <w:p w14:paraId="3475E3CB" w14:textId="77777777" w:rsidR="00D61A7A" w:rsidRPr="00D61A7A" w:rsidRDefault="00D61A7A" w:rsidP="00D61A7A">
            <w:pPr>
              <w:spacing w:after="0"/>
              <w:jc w:val="center"/>
              <w:rPr>
                <w:rFonts w:cs="Arial"/>
                <w:color w:val="000000"/>
                <w:sz w:val="16"/>
                <w:szCs w:val="16"/>
                <w:lang w:val="en-US"/>
              </w:rPr>
            </w:pPr>
            <w:r w:rsidRPr="00D61A7A">
              <w:rPr>
                <w:rFonts w:cs="Arial"/>
                <w:color w:val="000000"/>
                <w:sz w:val="16"/>
              </w:rPr>
              <w:t>Funding Source</w:t>
            </w:r>
          </w:p>
        </w:tc>
        <w:tc>
          <w:tcPr>
            <w:tcW w:w="2160" w:type="dxa"/>
            <w:shd w:val="clear" w:color="auto" w:fill="FFFF99"/>
            <w:vAlign w:val="center"/>
            <w:hideMark/>
          </w:tcPr>
          <w:p w14:paraId="29B0BBB0" w14:textId="77777777" w:rsidR="00D61A7A" w:rsidRPr="00D61A7A" w:rsidRDefault="00D61A7A" w:rsidP="00D61A7A">
            <w:pPr>
              <w:spacing w:after="0"/>
              <w:jc w:val="center"/>
              <w:rPr>
                <w:rFonts w:cs="Arial"/>
                <w:color w:val="000000"/>
                <w:sz w:val="16"/>
                <w:szCs w:val="16"/>
                <w:lang w:val="en-US"/>
              </w:rPr>
            </w:pPr>
            <w:r w:rsidRPr="00D61A7A">
              <w:rPr>
                <w:rFonts w:cs="Arial"/>
                <w:color w:val="000000"/>
                <w:sz w:val="16"/>
              </w:rPr>
              <w:t>Budget Description</w:t>
            </w:r>
          </w:p>
        </w:tc>
        <w:tc>
          <w:tcPr>
            <w:tcW w:w="1260" w:type="dxa"/>
            <w:shd w:val="clear" w:color="auto" w:fill="FFFF99"/>
            <w:vAlign w:val="center"/>
            <w:hideMark/>
          </w:tcPr>
          <w:p w14:paraId="7C1D19B6" w14:textId="77777777" w:rsidR="00D61A7A" w:rsidRPr="00D61A7A" w:rsidRDefault="00D61A7A" w:rsidP="00D61A7A">
            <w:pPr>
              <w:spacing w:after="0"/>
              <w:jc w:val="center"/>
              <w:rPr>
                <w:rFonts w:cs="Arial"/>
                <w:color w:val="000000"/>
                <w:sz w:val="16"/>
                <w:szCs w:val="16"/>
                <w:lang w:val="en-US"/>
              </w:rPr>
            </w:pPr>
            <w:r w:rsidRPr="00D61A7A">
              <w:rPr>
                <w:rFonts w:cs="Arial"/>
                <w:color w:val="000000"/>
                <w:sz w:val="16"/>
              </w:rPr>
              <w:t>Amount</w:t>
            </w:r>
          </w:p>
        </w:tc>
      </w:tr>
      <w:tr w:rsidR="00DF73CE" w:rsidRPr="00D61A7A" w14:paraId="3A81ED06" w14:textId="77777777" w:rsidTr="00F95136">
        <w:tc>
          <w:tcPr>
            <w:tcW w:w="1608" w:type="dxa"/>
            <w:vMerge w:val="restart"/>
            <w:shd w:val="clear" w:color="auto" w:fill="auto"/>
            <w:hideMark/>
          </w:tcPr>
          <w:p w14:paraId="0A04582D" w14:textId="54FF1F2C" w:rsidR="00A15C93" w:rsidRPr="00D61A7A" w:rsidRDefault="00A15C93" w:rsidP="00A15C93">
            <w:pPr>
              <w:spacing w:after="0"/>
              <w:rPr>
                <w:rFonts w:cs="Arial"/>
                <w:color w:val="000000"/>
                <w:sz w:val="16"/>
                <w:szCs w:val="16"/>
                <w:lang w:val="en-US"/>
              </w:rPr>
            </w:pPr>
            <w:r w:rsidRPr="00D61A7A">
              <w:rPr>
                <w:rFonts w:cs="Arial"/>
                <w:bCs/>
                <w:color w:val="000000"/>
                <w:sz w:val="16"/>
                <w:szCs w:val="16"/>
              </w:rPr>
              <w:t xml:space="preserve">Output 1: </w:t>
            </w:r>
            <w:r w:rsidR="008F086B" w:rsidRPr="008F086B">
              <w:rPr>
                <w:rFonts w:cs="Arial"/>
                <w:bCs/>
                <w:color w:val="000000"/>
                <w:sz w:val="16"/>
                <w:szCs w:val="16"/>
              </w:rPr>
              <w:t xml:space="preserve">Digital literacy of national government and vulnerable communities in Jordan are enhanced to build resilience and combat radicalization and prevent extremism </w:t>
            </w:r>
          </w:p>
        </w:tc>
        <w:tc>
          <w:tcPr>
            <w:tcW w:w="1869" w:type="dxa"/>
            <w:vMerge w:val="restart"/>
            <w:shd w:val="clear" w:color="auto" w:fill="auto"/>
            <w:vAlign w:val="center"/>
            <w:hideMark/>
          </w:tcPr>
          <w:p w14:paraId="63B7669A" w14:textId="3530847A" w:rsidR="00A15C93" w:rsidRPr="00D61A7A" w:rsidRDefault="00A15C93" w:rsidP="00A15C93">
            <w:pPr>
              <w:spacing w:after="0"/>
              <w:jc w:val="left"/>
              <w:rPr>
                <w:rFonts w:cs="Arial"/>
                <w:color w:val="000000"/>
                <w:sz w:val="16"/>
                <w:szCs w:val="16"/>
                <w:lang w:val="en-US"/>
              </w:rPr>
            </w:pPr>
            <w:r w:rsidRPr="00D61A7A">
              <w:rPr>
                <w:rFonts w:cs="Arial"/>
                <w:iCs/>
                <w:color w:val="000000"/>
                <w:sz w:val="16"/>
              </w:rPr>
              <w:t xml:space="preserve">1.1: </w:t>
            </w:r>
            <w:r w:rsidR="008B53A8" w:rsidRPr="008B53A8">
              <w:rPr>
                <w:rFonts w:cs="Arial"/>
                <w:iCs/>
                <w:color w:val="000000"/>
                <w:sz w:val="16"/>
              </w:rPr>
              <w:t>Support the Government of Jordan’ strategic communication in PVE, particularly through media and online communication</w:t>
            </w:r>
          </w:p>
        </w:tc>
        <w:tc>
          <w:tcPr>
            <w:tcW w:w="630" w:type="dxa"/>
            <w:vMerge w:val="restart"/>
            <w:shd w:val="clear" w:color="auto" w:fill="auto"/>
            <w:vAlign w:val="center"/>
            <w:hideMark/>
          </w:tcPr>
          <w:p w14:paraId="0DE7FAE3" w14:textId="77777777" w:rsidR="00A15C93" w:rsidRPr="00D61A7A" w:rsidRDefault="00A15C93" w:rsidP="00A15C93">
            <w:pPr>
              <w:spacing w:after="0"/>
              <w:rPr>
                <w:rFonts w:cs="Arial"/>
                <w:color w:val="000000"/>
                <w:szCs w:val="22"/>
                <w:lang w:val="en-US"/>
              </w:rPr>
            </w:pPr>
            <w:r w:rsidRPr="00D61A7A">
              <w:rPr>
                <w:rFonts w:cs="Arial"/>
                <w:color w:val="000000"/>
                <w:szCs w:val="22"/>
              </w:rPr>
              <w:t> </w:t>
            </w:r>
          </w:p>
        </w:tc>
        <w:tc>
          <w:tcPr>
            <w:tcW w:w="630" w:type="dxa"/>
            <w:vMerge w:val="restart"/>
            <w:shd w:val="clear" w:color="auto" w:fill="auto"/>
            <w:vAlign w:val="center"/>
            <w:hideMark/>
          </w:tcPr>
          <w:p w14:paraId="1790A13F" w14:textId="77777777" w:rsidR="00A15C93" w:rsidRPr="00D61A7A" w:rsidRDefault="00A15C93" w:rsidP="00A15C93">
            <w:pPr>
              <w:spacing w:after="0"/>
              <w:rPr>
                <w:rFonts w:cs="Arial"/>
                <w:color w:val="000000"/>
                <w:szCs w:val="22"/>
                <w:lang w:val="en-US"/>
              </w:rPr>
            </w:pPr>
            <w:r w:rsidRPr="00D61A7A">
              <w:rPr>
                <w:rFonts w:cs="Arial"/>
                <w:color w:val="000000"/>
                <w:szCs w:val="22"/>
              </w:rPr>
              <w:t> </w:t>
            </w:r>
          </w:p>
        </w:tc>
        <w:tc>
          <w:tcPr>
            <w:tcW w:w="990" w:type="dxa"/>
            <w:vMerge w:val="restart"/>
            <w:shd w:val="clear" w:color="auto" w:fill="auto"/>
            <w:vAlign w:val="center"/>
            <w:hideMark/>
          </w:tcPr>
          <w:p w14:paraId="2286AC01" w14:textId="77777777" w:rsidR="00A15C93" w:rsidRPr="00D61A7A" w:rsidRDefault="00A15C93" w:rsidP="00A15C93">
            <w:pPr>
              <w:spacing w:after="0"/>
              <w:rPr>
                <w:rFonts w:cs="Arial"/>
                <w:color w:val="000000"/>
                <w:sz w:val="16"/>
                <w:szCs w:val="16"/>
                <w:lang w:val="en-US"/>
              </w:rPr>
            </w:pPr>
            <w:r w:rsidRPr="00D61A7A">
              <w:rPr>
                <w:rFonts w:cs="Arial"/>
                <w:color w:val="000000"/>
                <w:sz w:val="16"/>
                <w:szCs w:val="16"/>
              </w:rPr>
              <w:t>UNDP</w:t>
            </w:r>
          </w:p>
        </w:tc>
        <w:tc>
          <w:tcPr>
            <w:tcW w:w="810" w:type="dxa"/>
            <w:vMerge w:val="restart"/>
            <w:shd w:val="clear" w:color="auto" w:fill="auto"/>
            <w:vAlign w:val="center"/>
            <w:hideMark/>
          </w:tcPr>
          <w:p w14:paraId="23816C18" w14:textId="77777777" w:rsidR="00A15C93" w:rsidRPr="00D61A7A" w:rsidRDefault="00A15C93" w:rsidP="00A15C93">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371CA45E" w14:textId="59EA691E" w:rsidR="00A15C93" w:rsidRDefault="000641CC" w:rsidP="00A15C93">
            <w:pPr>
              <w:spacing w:after="0"/>
              <w:rPr>
                <w:rFonts w:cs="Arial"/>
                <w:color w:val="000000"/>
                <w:sz w:val="16"/>
                <w:szCs w:val="16"/>
                <w:lang w:val="en-US" w:eastAsia="ja-JP"/>
              </w:rPr>
            </w:pPr>
            <w:r>
              <w:rPr>
                <w:rFonts w:cs="Arial"/>
                <w:color w:val="000000"/>
                <w:sz w:val="16"/>
                <w:szCs w:val="16"/>
              </w:rPr>
              <w:t>IT system development, equipment &amp; management</w:t>
            </w:r>
          </w:p>
        </w:tc>
        <w:tc>
          <w:tcPr>
            <w:tcW w:w="1260" w:type="dxa"/>
            <w:shd w:val="clear" w:color="auto" w:fill="auto"/>
            <w:vAlign w:val="center"/>
            <w:hideMark/>
          </w:tcPr>
          <w:p w14:paraId="60DA8735" w14:textId="5E98B4C4" w:rsidR="00A15C93" w:rsidRDefault="00A15C93" w:rsidP="00A15C93">
            <w:pPr>
              <w:jc w:val="right"/>
              <w:rPr>
                <w:rFonts w:cs="Arial"/>
                <w:color w:val="000000"/>
                <w:sz w:val="16"/>
                <w:szCs w:val="16"/>
              </w:rPr>
            </w:pPr>
            <w:r>
              <w:rPr>
                <w:rFonts w:cs="Arial"/>
                <w:color w:val="000000"/>
                <w:sz w:val="16"/>
                <w:szCs w:val="16"/>
              </w:rPr>
              <w:t>$</w:t>
            </w:r>
            <w:r w:rsidR="004F5534">
              <w:rPr>
                <w:rFonts w:cs="Arial"/>
                <w:color w:val="000000"/>
                <w:sz w:val="16"/>
                <w:szCs w:val="16"/>
              </w:rPr>
              <w:t>125</w:t>
            </w:r>
            <w:r>
              <w:rPr>
                <w:rFonts w:cs="Arial"/>
                <w:color w:val="000000"/>
                <w:sz w:val="16"/>
                <w:szCs w:val="16"/>
              </w:rPr>
              <w:t>,</w:t>
            </w:r>
            <w:r w:rsidR="000641CC">
              <w:rPr>
                <w:rFonts w:cs="Arial"/>
                <w:color w:val="000000"/>
                <w:sz w:val="16"/>
                <w:szCs w:val="16"/>
              </w:rPr>
              <w:t>0</w:t>
            </w:r>
            <w:r>
              <w:rPr>
                <w:rFonts w:cs="Arial"/>
                <w:color w:val="000000"/>
                <w:sz w:val="16"/>
                <w:szCs w:val="16"/>
              </w:rPr>
              <w:t xml:space="preserve">00.00 </w:t>
            </w:r>
          </w:p>
        </w:tc>
      </w:tr>
      <w:tr w:rsidR="00DF73CE" w:rsidRPr="00D61A7A" w14:paraId="57055F3D" w14:textId="77777777" w:rsidTr="00F95136">
        <w:tc>
          <w:tcPr>
            <w:tcW w:w="1608" w:type="dxa"/>
            <w:vMerge/>
            <w:vAlign w:val="center"/>
            <w:hideMark/>
          </w:tcPr>
          <w:p w14:paraId="256EC0D2" w14:textId="77777777" w:rsidR="00A15C93" w:rsidRPr="00D61A7A" w:rsidRDefault="00A15C93" w:rsidP="00A15C93">
            <w:pPr>
              <w:spacing w:after="0"/>
              <w:jc w:val="left"/>
              <w:rPr>
                <w:rFonts w:cs="Arial"/>
                <w:color w:val="000000"/>
                <w:sz w:val="16"/>
                <w:szCs w:val="16"/>
                <w:lang w:val="en-US"/>
              </w:rPr>
            </w:pPr>
          </w:p>
        </w:tc>
        <w:tc>
          <w:tcPr>
            <w:tcW w:w="1869" w:type="dxa"/>
            <w:vMerge/>
            <w:vAlign w:val="center"/>
            <w:hideMark/>
          </w:tcPr>
          <w:p w14:paraId="24E7F043" w14:textId="77777777" w:rsidR="00A15C93" w:rsidRPr="00D61A7A" w:rsidRDefault="00A15C93" w:rsidP="00A15C93">
            <w:pPr>
              <w:spacing w:after="0"/>
              <w:jc w:val="left"/>
              <w:rPr>
                <w:rFonts w:cs="Arial"/>
                <w:color w:val="000000"/>
                <w:sz w:val="16"/>
                <w:szCs w:val="16"/>
                <w:lang w:val="en-US"/>
              </w:rPr>
            </w:pPr>
          </w:p>
        </w:tc>
        <w:tc>
          <w:tcPr>
            <w:tcW w:w="630" w:type="dxa"/>
            <w:vMerge/>
            <w:vAlign w:val="center"/>
            <w:hideMark/>
          </w:tcPr>
          <w:p w14:paraId="70F9081D" w14:textId="77777777" w:rsidR="00A15C93" w:rsidRPr="00D61A7A" w:rsidRDefault="00A15C93" w:rsidP="00A15C93">
            <w:pPr>
              <w:spacing w:after="0"/>
              <w:jc w:val="left"/>
              <w:rPr>
                <w:rFonts w:cs="Arial"/>
                <w:color w:val="000000"/>
                <w:szCs w:val="22"/>
                <w:lang w:val="en-US"/>
              </w:rPr>
            </w:pPr>
          </w:p>
        </w:tc>
        <w:tc>
          <w:tcPr>
            <w:tcW w:w="630" w:type="dxa"/>
            <w:vMerge/>
            <w:vAlign w:val="center"/>
            <w:hideMark/>
          </w:tcPr>
          <w:p w14:paraId="1CB92F35" w14:textId="77777777" w:rsidR="00A15C93" w:rsidRPr="00D61A7A" w:rsidRDefault="00A15C93" w:rsidP="00A15C93">
            <w:pPr>
              <w:spacing w:after="0"/>
              <w:jc w:val="left"/>
              <w:rPr>
                <w:rFonts w:cs="Arial"/>
                <w:color w:val="000000"/>
                <w:szCs w:val="22"/>
                <w:lang w:val="en-US"/>
              </w:rPr>
            </w:pPr>
          </w:p>
        </w:tc>
        <w:tc>
          <w:tcPr>
            <w:tcW w:w="990" w:type="dxa"/>
            <w:vMerge/>
            <w:vAlign w:val="center"/>
            <w:hideMark/>
          </w:tcPr>
          <w:p w14:paraId="0754C2AC" w14:textId="77777777" w:rsidR="00A15C93" w:rsidRPr="00D61A7A" w:rsidRDefault="00A15C93" w:rsidP="00A15C93">
            <w:pPr>
              <w:spacing w:after="0"/>
              <w:jc w:val="left"/>
              <w:rPr>
                <w:rFonts w:cs="Arial"/>
                <w:color w:val="000000"/>
                <w:sz w:val="16"/>
                <w:szCs w:val="16"/>
                <w:lang w:val="en-US"/>
              </w:rPr>
            </w:pPr>
          </w:p>
        </w:tc>
        <w:tc>
          <w:tcPr>
            <w:tcW w:w="810" w:type="dxa"/>
            <w:vMerge/>
            <w:vAlign w:val="center"/>
            <w:hideMark/>
          </w:tcPr>
          <w:p w14:paraId="59BCFFB9" w14:textId="77777777" w:rsidR="00A15C93" w:rsidRPr="00D61A7A" w:rsidRDefault="00A15C93" w:rsidP="00A15C93">
            <w:pPr>
              <w:spacing w:after="0"/>
              <w:jc w:val="left"/>
              <w:rPr>
                <w:rFonts w:cs="Arial"/>
                <w:color w:val="000000"/>
                <w:sz w:val="16"/>
                <w:szCs w:val="16"/>
                <w:lang w:val="en-US"/>
              </w:rPr>
            </w:pPr>
          </w:p>
        </w:tc>
        <w:tc>
          <w:tcPr>
            <w:tcW w:w="2160" w:type="dxa"/>
            <w:shd w:val="clear" w:color="auto" w:fill="auto"/>
            <w:vAlign w:val="center"/>
            <w:hideMark/>
          </w:tcPr>
          <w:p w14:paraId="42AB41BC" w14:textId="79F5A6DB" w:rsidR="00A15C93" w:rsidRDefault="00A15C93" w:rsidP="00A15C93">
            <w:pPr>
              <w:rPr>
                <w:rFonts w:cs="Arial"/>
                <w:color w:val="000000"/>
                <w:sz w:val="16"/>
                <w:szCs w:val="16"/>
              </w:rPr>
            </w:pPr>
            <w:r>
              <w:rPr>
                <w:rFonts w:cs="Arial"/>
                <w:color w:val="000000"/>
                <w:sz w:val="16"/>
                <w:szCs w:val="16"/>
              </w:rPr>
              <w:t>National Consultant (</w:t>
            </w:r>
            <w:r w:rsidR="00781BFB">
              <w:rPr>
                <w:rFonts w:cs="Arial"/>
                <w:color w:val="000000"/>
                <w:sz w:val="16"/>
                <w:szCs w:val="16"/>
              </w:rPr>
              <w:t>Communication Specialist</w:t>
            </w:r>
            <w:r>
              <w:rPr>
                <w:rFonts w:cs="Arial"/>
                <w:color w:val="000000"/>
                <w:sz w:val="16"/>
                <w:szCs w:val="16"/>
              </w:rPr>
              <w:t>)</w:t>
            </w:r>
          </w:p>
        </w:tc>
        <w:tc>
          <w:tcPr>
            <w:tcW w:w="1260" w:type="dxa"/>
            <w:shd w:val="clear" w:color="auto" w:fill="auto"/>
            <w:vAlign w:val="center"/>
            <w:hideMark/>
          </w:tcPr>
          <w:p w14:paraId="3F05A7DB" w14:textId="005503B5" w:rsidR="00A15C93" w:rsidRDefault="00A15C93" w:rsidP="00A15C93">
            <w:pPr>
              <w:jc w:val="right"/>
              <w:rPr>
                <w:rFonts w:cs="Arial"/>
                <w:color w:val="000000"/>
                <w:sz w:val="16"/>
                <w:szCs w:val="16"/>
              </w:rPr>
            </w:pPr>
            <w:r>
              <w:rPr>
                <w:rFonts w:cs="Arial"/>
                <w:color w:val="000000"/>
                <w:sz w:val="16"/>
                <w:szCs w:val="16"/>
              </w:rPr>
              <w:t>$</w:t>
            </w:r>
            <w:r w:rsidR="00781BFB">
              <w:rPr>
                <w:rFonts w:cs="Arial"/>
                <w:color w:val="000000"/>
                <w:sz w:val="16"/>
                <w:szCs w:val="16"/>
              </w:rPr>
              <w:t>36</w:t>
            </w:r>
            <w:r>
              <w:rPr>
                <w:rFonts w:cs="Arial"/>
                <w:color w:val="000000"/>
                <w:sz w:val="16"/>
                <w:szCs w:val="16"/>
              </w:rPr>
              <w:t xml:space="preserve">,000.00 </w:t>
            </w:r>
          </w:p>
        </w:tc>
      </w:tr>
      <w:tr w:rsidR="00DF73CE" w:rsidRPr="00D61A7A" w14:paraId="417EB3E1" w14:textId="77777777" w:rsidTr="00F95136">
        <w:tc>
          <w:tcPr>
            <w:tcW w:w="1608" w:type="dxa"/>
            <w:vMerge/>
            <w:vAlign w:val="center"/>
            <w:hideMark/>
          </w:tcPr>
          <w:p w14:paraId="67119365" w14:textId="77777777" w:rsidR="00A15C93" w:rsidRPr="00D61A7A" w:rsidRDefault="00A15C93" w:rsidP="00A15C93">
            <w:pPr>
              <w:spacing w:after="0"/>
              <w:jc w:val="left"/>
              <w:rPr>
                <w:rFonts w:cs="Arial"/>
                <w:color w:val="000000"/>
                <w:sz w:val="16"/>
                <w:szCs w:val="16"/>
                <w:lang w:val="en-US"/>
              </w:rPr>
            </w:pPr>
          </w:p>
        </w:tc>
        <w:tc>
          <w:tcPr>
            <w:tcW w:w="1869" w:type="dxa"/>
            <w:vMerge w:val="restart"/>
            <w:shd w:val="clear" w:color="auto" w:fill="auto"/>
            <w:vAlign w:val="center"/>
            <w:hideMark/>
          </w:tcPr>
          <w:p w14:paraId="28507D88" w14:textId="69BB8439" w:rsidR="00A15C93" w:rsidRPr="00D61A7A" w:rsidRDefault="00A15C93" w:rsidP="00A15C93">
            <w:pPr>
              <w:spacing w:after="0"/>
              <w:rPr>
                <w:rFonts w:cs="Arial"/>
                <w:color w:val="000000"/>
                <w:sz w:val="16"/>
                <w:szCs w:val="16"/>
                <w:lang w:val="en-US"/>
              </w:rPr>
            </w:pPr>
            <w:r w:rsidRPr="00D61A7A">
              <w:rPr>
                <w:rFonts w:cs="Arial"/>
                <w:iCs/>
                <w:color w:val="000000"/>
                <w:sz w:val="16"/>
              </w:rPr>
              <w:t xml:space="preserve">1.2: </w:t>
            </w:r>
            <w:r w:rsidR="00F11BCB" w:rsidRPr="00F11BCB">
              <w:rPr>
                <w:rFonts w:cs="Arial"/>
                <w:iCs/>
                <w:color w:val="000000"/>
                <w:sz w:val="16"/>
              </w:rPr>
              <w:t xml:space="preserve">Building capacity of government officers and students to understand the role of media and communications in PVE </w:t>
            </w:r>
          </w:p>
        </w:tc>
        <w:tc>
          <w:tcPr>
            <w:tcW w:w="630" w:type="dxa"/>
            <w:vMerge w:val="restart"/>
            <w:shd w:val="clear" w:color="auto" w:fill="auto"/>
            <w:vAlign w:val="center"/>
            <w:hideMark/>
          </w:tcPr>
          <w:p w14:paraId="32EC9D34" w14:textId="77777777" w:rsidR="00A15C93" w:rsidRPr="00D61A7A" w:rsidRDefault="00A15C93" w:rsidP="00A15C93">
            <w:pPr>
              <w:spacing w:after="0"/>
              <w:rPr>
                <w:rFonts w:cs="Arial"/>
                <w:color w:val="000000"/>
                <w:szCs w:val="22"/>
                <w:lang w:val="en-US"/>
              </w:rPr>
            </w:pPr>
            <w:r w:rsidRPr="00D61A7A">
              <w:rPr>
                <w:rFonts w:cs="Arial"/>
                <w:color w:val="000000"/>
                <w:szCs w:val="22"/>
              </w:rPr>
              <w:t> </w:t>
            </w:r>
          </w:p>
        </w:tc>
        <w:tc>
          <w:tcPr>
            <w:tcW w:w="630" w:type="dxa"/>
            <w:vMerge w:val="restart"/>
            <w:shd w:val="clear" w:color="auto" w:fill="auto"/>
            <w:vAlign w:val="center"/>
            <w:hideMark/>
          </w:tcPr>
          <w:p w14:paraId="3A57A2B7" w14:textId="77777777" w:rsidR="00A15C93" w:rsidRPr="00D61A7A" w:rsidRDefault="00A15C93" w:rsidP="00A15C93">
            <w:pPr>
              <w:spacing w:after="0"/>
              <w:rPr>
                <w:rFonts w:cs="Arial"/>
                <w:color w:val="000000"/>
                <w:szCs w:val="22"/>
                <w:lang w:val="en-US"/>
              </w:rPr>
            </w:pPr>
            <w:r w:rsidRPr="00D61A7A">
              <w:rPr>
                <w:rFonts w:cs="Arial"/>
                <w:color w:val="000000"/>
                <w:szCs w:val="22"/>
              </w:rPr>
              <w:t> </w:t>
            </w:r>
          </w:p>
        </w:tc>
        <w:tc>
          <w:tcPr>
            <w:tcW w:w="990" w:type="dxa"/>
            <w:vMerge w:val="restart"/>
            <w:shd w:val="clear" w:color="auto" w:fill="auto"/>
            <w:vAlign w:val="center"/>
            <w:hideMark/>
          </w:tcPr>
          <w:p w14:paraId="4F0A239E" w14:textId="77777777" w:rsidR="00A15C93" w:rsidRPr="00D61A7A" w:rsidRDefault="00A15C93" w:rsidP="00A15C93">
            <w:pPr>
              <w:spacing w:after="0"/>
              <w:rPr>
                <w:rFonts w:cs="Arial"/>
                <w:color w:val="000000"/>
                <w:sz w:val="16"/>
                <w:szCs w:val="16"/>
                <w:lang w:val="en-US"/>
              </w:rPr>
            </w:pPr>
            <w:r w:rsidRPr="00D61A7A">
              <w:rPr>
                <w:rFonts w:cs="Arial"/>
                <w:color w:val="000000"/>
                <w:sz w:val="16"/>
                <w:szCs w:val="16"/>
              </w:rPr>
              <w:t>UNDP</w:t>
            </w:r>
          </w:p>
        </w:tc>
        <w:tc>
          <w:tcPr>
            <w:tcW w:w="810" w:type="dxa"/>
            <w:vMerge w:val="restart"/>
            <w:shd w:val="clear" w:color="auto" w:fill="auto"/>
            <w:vAlign w:val="center"/>
            <w:hideMark/>
          </w:tcPr>
          <w:p w14:paraId="530535C5" w14:textId="77777777" w:rsidR="00A15C93" w:rsidRPr="00D61A7A" w:rsidRDefault="00A15C93" w:rsidP="00A15C93">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09ECAA73" w14:textId="4D74C575" w:rsidR="00A15C93" w:rsidRDefault="00A15C93" w:rsidP="00A15C93">
            <w:pPr>
              <w:rPr>
                <w:rFonts w:cs="Arial"/>
                <w:color w:val="000000"/>
                <w:sz w:val="16"/>
                <w:szCs w:val="16"/>
              </w:rPr>
            </w:pPr>
            <w:r>
              <w:rPr>
                <w:rFonts w:cs="Arial"/>
                <w:color w:val="000000"/>
                <w:sz w:val="16"/>
                <w:szCs w:val="16"/>
              </w:rPr>
              <w:t xml:space="preserve">Capacity </w:t>
            </w:r>
            <w:r w:rsidR="004363F8">
              <w:rPr>
                <w:rFonts w:cs="Arial"/>
                <w:color w:val="000000"/>
                <w:sz w:val="16"/>
                <w:szCs w:val="16"/>
              </w:rPr>
              <w:t>b</w:t>
            </w:r>
            <w:r>
              <w:rPr>
                <w:rFonts w:cs="Arial"/>
                <w:color w:val="000000"/>
                <w:sz w:val="16"/>
                <w:szCs w:val="16"/>
              </w:rPr>
              <w:t xml:space="preserve">uilding and Trainings </w:t>
            </w:r>
            <w:r w:rsidR="004363F8">
              <w:rPr>
                <w:rFonts w:cs="Arial"/>
                <w:color w:val="000000"/>
                <w:sz w:val="16"/>
                <w:szCs w:val="16"/>
              </w:rPr>
              <w:t>(Government representatives)</w:t>
            </w:r>
          </w:p>
        </w:tc>
        <w:tc>
          <w:tcPr>
            <w:tcW w:w="1260" w:type="dxa"/>
            <w:shd w:val="clear" w:color="auto" w:fill="auto"/>
            <w:vAlign w:val="center"/>
            <w:hideMark/>
          </w:tcPr>
          <w:p w14:paraId="5753B61F" w14:textId="10EE8F45" w:rsidR="00A15C93" w:rsidRDefault="00A15C93" w:rsidP="00A15C93">
            <w:pPr>
              <w:jc w:val="right"/>
              <w:rPr>
                <w:rFonts w:cs="Arial"/>
                <w:color w:val="000000"/>
                <w:sz w:val="16"/>
                <w:szCs w:val="16"/>
              </w:rPr>
            </w:pPr>
            <w:r>
              <w:rPr>
                <w:rFonts w:cs="Arial"/>
                <w:color w:val="000000"/>
                <w:sz w:val="16"/>
                <w:szCs w:val="16"/>
              </w:rPr>
              <w:t>$</w:t>
            </w:r>
            <w:r w:rsidR="004F5534">
              <w:rPr>
                <w:rFonts w:cs="Arial"/>
                <w:color w:val="000000"/>
                <w:sz w:val="16"/>
                <w:szCs w:val="16"/>
              </w:rPr>
              <w:t>1</w:t>
            </w:r>
            <w:r w:rsidR="008F53FB">
              <w:rPr>
                <w:rFonts w:cs="Arial"/>
                <w:color w:val="000000"/>
                <w:sz w:val="16"/>
                <w:szCs w:val="16"/>
              </w:rPr>
              <w:t>0</w:t>
            </w:r>
            <w:r>
              <w:rPr>
                <w:rFonts w:cs="Arial"/>
                <w:color w:val="000000"/>
                <w:sz w:val="16"/>
                <w:szCs w:val="16"/>
              </w:rPr>
              <w:t xml:space="preserve">,000.00 </w:t>
            </w:r>
          </w:p>
        </w:tc>
      </w:tr>
      <w:tr w:rsidR="00DF73CE" w:rsidRPr="00D61A7A" w14:paraId="48D94AE5" w14:textId="77777777" w:rsidTr="00F95136">
        <w:tc>
          <w:tcPr>
            <w:tcW w:w="1608" w:type="dxa"/>
            <w:vMerge/>
            <w:vAlign w:val="center"/>
            <w:hideMark/>
          </w:tcPr>
          <w:p w14:paraId="34C798CE" w14:textId="77777777" w:rsidR="00A15C93" w:rsidRPr="00D61A7A" w:rsidRDefault="00A15C93" w:rsidP="00A15C93">
            <w:pPr>
              <w:spacing w:after="0"/>
              <w:jc w:val="left"/>
              <w:rPr>
                <w:rFonts w:cs="Arial"/>
                <w:color w:val="000000"/>
                <w:sz w:val="16"/>
                <w:szCs w:val="16"/>
                <w:lang w:val="en-US"/>
              </w:rPr>
            </w:pPr>
          </w:p>
        </w:tc>
        <w:tc>
          <w:tcPr>
            <w:tcW w:w="1869" w:type="dxa"/>
            <w:vMerge/>
            <w:vAlign w:val="center"/>
            <w:hideMark/>
          </w:tcPr>
          <w:p w14:paraId="683DD70C" w14:textId="77777777" w:rsidR="00A15C93" w:rsidRPr="00D61A7A" w:rsidRDefault="00A15C93" w:rsidP="00A15C93">
            <w:pPr>
              <w:spacing w:after="0"/>
              <w:jc w:val="left"/>
              <w:rPr>
                <w:rFonts w:cs="Arial"/>
                <w:color w:val="000000"/>
                <w:sz w:val="16"/>
                <w:szCs w:val="16"/>
                <w:lang w:val="en-US"/>
              </w:rPr>
            </w:pPr>
          </w:p>
        </w:tc>
        <w:tc>
          <w:tcPr>
            <w:tcW w:w="630" w:type="dxa"/>
            <w:vMerge/>
            <w:vAlign w:val="center"/>
            <w:hideMark/>
          </w:tcPr>
          <w:p w14:paraId="276FDAC0" w14:textId="77777777" w:rsidR="00A15C93" w:rsidRPr="00D61A7A" w:rsidRDefault="00A15C93" w:rsidP="00A15C93">
            <w:pPr>
              <w:spacing w:after="0"/>
              <w:jc w:val="left"/>
              <w:rPr>
                <w:rFonts w:cs="Arial"/>
                <w:color w:val="000000"/>
                <w:szCs w:val="22"/>
                <w:lang w:val="en-US"/>
              </w:rPr>
            </w:pPr>
          </w:p>
        </w:tc>
        <w:tc>
          <w:tcPr>
            <w:tcW w:w="630" w:type="dxa"/>
            <w:vMerge/>
            <w:vAlign w:val="center"/>
            <w:hideMark/>
          </w:tcPr>
          <w:p w14:paraId="0927C71A" w14:textId="77777777" w:rsidR="00A15C93" w:rsidRPr="00D61A7A" w:rsidRDefault="00A15C93" w:rsidP="00A15C93">
            <w:pPr>
              <w:spacing w:after="0"/>
              <w:jc w:val="left"/>
              <w:rPr>
                <w:rFonts w:cs="Arial"/>
                <w:color w:val="000000"/>
                <w:szCs w:val="22"/>
                <w:lang w:val="en-US"/>
              </w:rPr>
            </w:pPr>
          </w:p>
        </w:tc>
        <w:tc>
          <w:tcPr>
            <w:tcW w:w="990" w:type="dxa"/>
            <w:vMerge/>
            <w:vAlign w:val="center"/>
            <w:hideMark/>
          </w:tcPr>
          <w:p w14:paraId="560DF1A2" w14:textId="77777777" w:rsidR="00A15C93" w:rsidRPr="00D61A7A" w:rsidRDefault="00A15C93" w:rsidP="00A15C93">
            <w:pPr>
              <w:spacing w:after="0"/>
              <w:jc w:val="left"/>
              <w:rPr>
                <w:rFonts w:cs="Arial"/>
                <w:color w:val="000000"/>
                <w:sz w:val="16"/>
                <w:szCs w:val="16"/>
                <w:lang w:val="en-US"/>
              </w:rPr>
            </w:pPr>
          </w:p>
        </w:tc>
        <w:tc>
          <w:tcPr>
            <w:tcW w:w="810" w:type="dxa"/>
            <w:vMerge/>
            <w:vAlign w:val="center"/>
            <w:hideMark/>
          </w:tcPr>
          <w:p w14:paraId="6FFBAEBD" w14:textId="77777777" w:rsidR="00A15C93" w:rsidRPr="00D61A7A" w:rsidRDefault="00A15C93" w:rsidP="00A15C93">
            <w:pPr>
              <w:spacing w:after="0"/>
              <w:jc w:val="left"/>
              <w:rPr>
                <w:rFonts w:cs="Arial"/>
                <w:color w:val="000000"/>
                <w:sz w:val="16"/>
                <w:szCs w:val="16"/>
                <w:lang w:val="en-US"/>
              </w:rPr>
            </w:pPr>
          </w:p>
        </w:tc>
        <w:tc>
          <w:tcPr>
            <w:tcW w:w="2160" w:type="dxa"/>
            <w:shd w:val="clear" w:color="auto" w:fill="auto"/>
            <w:vAlign w:val="center"/>
            <w:hideMark/>
          </w:tcPr>
          <w:p w14:paraId="256B6F2A" w14:textId="6B9D2940" w:rsidR="00A15C93" w:rsidRDefault="004363F8" w:rsidP="00A15C93">
            <w:pPr>
              <w:rPr>
                <w:rFonts w:cs="Arial"/>
                <w:color w:val="000000"/>
                <w:sz w:val="16"/>
                <w:szCs w:val="16"/>
              </w:rPr>
            </w:pPr>
            <w:r>
              <w:rPr>
                <w:rFonts w:cs="Arial"/>
                <w:color w:val="000000"/>
                <w:sz w:val="16"/>
                <w:szCs w:val="16"/>
              </w:rPr>
              <w:t>National Consultant (M&amp;E and Learning)</w:t>
            </w:r>
          </w:p>
        </w:tc>
        <w:tc>
          <w:tcPr>
            <w:tcW w:w="1260" w:type="dxa"/>
            <w:shd w:val="clear" w:color="auto" w:fill="auto"/>
            <w:vAlign w:val="center"/>
            <w:hideMark/>
          </w:tcPr>
          <w:p w14:paraId="25946451" w14:textId="689A89C5" w:rsidR="00A15C93" w:rsidRDefault="00A15C93" w:rsidP="00A15C93">
            <w:pPr>
              <w:jc w:val="right"/>
              <w:rPr>
                <w:rFonts w:cs="Arial"/>
                <w:color w:val="000000"/>
                <w:sz w:val="16"/>
                <w:szCs w:val="16"/>
              </w:rPr>
            </w:pPr>
            <w:r>
              <w:rPr>
                <w:rFonts w:cs="Arial"/>
                <w:color w:val="000000"/>
                <w:sz w:val="16"/>
                <w:szCs w:val="16"/>
              </w:rPr>
              <w:t>$</w:t>
            </w:r>
            <w:r w:rsidR="004363F8">
              <w:rPr>
                <w:rFonts w:cs="Arial"/>
                <w:color w:val="000000"/>
                <w:sz w:val="16"/>
                <w:szCs w:val="16"/>
              </w:rPr>
              <w:t>36</w:t>
            </w:r>
            <w:r>
              <w:rPr>
                <w:rFonts w:cs="Arial"/>
                <w:color w:val="000000"/>
                <w:sz w:val="16"/>
                <w:szCs w:val="16"/>
              </w:rPr>
              <w:t xml:space="preserve">,000.00 </w:t>
            </w:r>
          </w:p>
        </w:tc>
      </w:tr>
      <w:tr w:rsidR="00DF73CE" w:rsidRPr="00D61A7A" w14:paraId="5D81C7D0" w14:textId="77777777" w:rsidTr="00F95136">
        <w:tc>
          <w:tcPr>
            <w:tcW w:w="1608" w:type="dxa"/>
            <w:vMerge/>
            <w:vAlign w:val="center"/>
            <w:hideMark/>
          </w:tcPr>
          <w:p w14:paraId="531B1A5E" w14:textId="77777777" w:rsidR="00A15C93" w:rsidRPr="00D61A7A" w:rsidRDefault="00A15C93" w:rsidP="00A15C93">
            <w:pPr>
              <w:spacing w:after="0"/>
              <w:jc w:val="left"/>
              <w:rPr>
                <w:rFonts w:cs="Arial"/>
                <w:color w:val="000000"/>
                <w:sz w:val="16"/>
                <w:szCs w:val="16"/>
                <w:lang w:val="en-US"/>
              </w:rPr>
            </w:pPr>
          </w:p>
        </w:tc>
        <w:tc>
          <w:tcPr>
            <w:tcW w:w="1869" w:type="dxa"/>
            <w:vMerge/>
            <w:vAlign w:val="center"/>
            <w:hideMark/>
          </w:tcPr>
          <w:p w14:paraId="51CF668F" w14:textId="77777777" w:rsidR="00A15C93" w:rsidRPr="00D61A7A" w:rsidRDefault="00A15C93" w:rsidP="00A15C93">
            <w:pPr>
              <w:spacing w:after="0"/>
              <w:jc w:val="left"/>
              <w:rPr>
                <w:rFonts w:cs="Arial"/>
                <w:color w:val="000000"/>
                <w:sz w:val="16"/>
                <w:szCs w:val="16"/>
                <w:lang w:val="en-US"/>
              </w:rPr>
            </w:pPr>
          </w:p>
        </w:tc>
        <w:tc>
          <w:tcPr>
            <w:tcW w:w="630" w:type="dxa"/>
            <w:vMerge/>
            <w:vAlign w:val="center"/>
            <w:hideMark/>
          </w:tcPr>
          <w:p w14:paraId="1C9E50B2" w14:textId="77777777" w:rsidR="00A15C93" w:rsidRPr="00D61A7A" w:rsidRDefault="00A15C93" w:rsidP="00A15C93">
            <w:pPr>
              <w:spacing w:after="0"/>
              <w:jc w:val="left"/>
              <w:rPr>
                <w:rFonts w:cs="Arial"/>
                <w:color w:val="000000"/>
                <w:szCs w:val="22"/>
                <w:lang w:val="en-US"/>
              </w:rPr>
            </w:pPr>
          </w:p>
        </w:tc>
        <w:tc>
          <w:tcPr>
            <w:tcW w:w="630" w:type="dxa"/>
            <w:vMerge/>
            <w:vAlign w:val="center"/>
            <w:hideMark/>
          </w:tcPr>
          <w:p w14:paraId="008A80DA" w14:textId="77777777" w:rsidR="00A15C93" w:rsidRPr="00D61A7A" w:rsidRDefault="00A15C93" w:rsidP="00A15C93">
            <w:pPr>
              <w:spacing w:after="0"/>
              <w:jc w:val="left"/>
              <w:rPr>
                <w:rFonts w:cs="Arial"/>
                <w:color w:val="000000"/>
                <w:szCs w:val="22"/>
                <w:lang w:val="en-US"/>
              </w:rPr>
            </w:pPr>
          </w:p>
        </w:tc>
        <w:tc>
          <w:tcPr>
            <w:tcW w:w="990" w:type="dxa"/>
            <w:vMerge/>
            <w:vAlign w:val="center"/>
            <w:hideMark/>
          </w:tcPr>
          <w:p w14:paraId="5C7DE9E9" w14:textId="77777777" w:rsidR="00A15C93" w:rsidRPr="00D61A7A" w:rsidRDefault="00A15C93" w:rsidP="00A15C93">
            <w:pPr>
              <w:spacing w:after="0"/>
              <w:jc w:val="left"/>
              <w:rPr>
                <w:rFonts w:cs="Arial"/>
                <w:color w:val="000000"/>
                <w:sz w:val="16"/>
                <w:szCs w:val="16"/>
                <w:lang w:val="en-US"/>
              </w:rPr>
            </w:pPr>
          </w:p>
        </w:tc>
        <w:tc>
          <w:tcPr>
            <w:tcW w:w="810" w:type="dxa"/>
            <w:vMerge/>
            <w:vAlign w:val="center"/>
            <w:hideMark/>
          </w:tcPr>
          <w:p w14:paraId="65836AC2" w14:textId="77777777" w:rsidR="00A15C93" w:rsidRPr="00D61A7A" w:rsidRDefault="00A15C93" w:rsidP="00A15C93">
            <w:pPr>
              <w:spacing w:after="0"/>
              <w:jc w:val="left"/>
              <w:rPr>
                <w:rFonts w:cs="Arial"/>
                <w:color w:val="000000"/>
                <w:sz w:val="16"/>
                <w:szCs w:val="16"/>
                <w:lang w:val="en-US"/>
              </w:rPr>
            </w:pPr>
          </w:p>
        </w:tc>
        <w:tc>
          <w:tcPr>
            <w:tcW w:w="2160" w:type="dxa"/>
            <w:shd w:val="clear" w:color="auto" w:fill="auto"/>
            <w:vAlign w:val="center"/>
            <w:hideMark/>
          </w:tcPr>
          <w:p w14:paraId="7DA374FB" w14:textId="7E14AEC2" w:rsidR="00A15C93" w:rsidRDefault="004363F8" w:rsidP="00A15C93">
            <w:pPr>
              <w:rPr>
                <w:rFonts w:cs="Arial"/>
                <w:color w:val="000000"/>
                <w:sz w:val="16"/>
                <w:szCs w:val="16"/>
              </w:rPr>
            </w:pPr>
            <w:r>
              <w:rPr>
                <w:rFonts w:cs="Arial"/>
                <w:color w:val="000000"/>
                <w:sz w:val="16"/>
                <w:szCs w:val="16"/>
              </w:rPr>
              <w:t>Capacity building and training (students)</w:t>
            </w:r>
          </w:p>
        </w:tc>
        <w:tc>
          <w:tcPr>
            <w:tcW w:w="1260" w:type="dxa"/>
            <w:shd w:val="clear" w:color="auto" w:fill="auto"/>
            <w:vAlign w:val="center"/>
            <w:hideMark/>
          </w:tcPr>
          <w:p w14:paraId="02CBBF97" w14:textId="71924285" w:rsidR="00A15C93" w:rsidRDefault="00A15C93" w:rsidP="00A15C93">
            <w:pPr>
              <w:jc w:val="right"/>
              <w:rPr>
                <w:rFonts w:cs="Arial"/>
                <w:color w:val="000000"/>
                <w:sz w:val="16"/>
                <w:szCs w:val="16"/>
              </w:rPr>
            </w:pPr>
            <w:r>
              <w:rPr>
                <w:rFonts w:cs="Arial"/>
                <w:color w:val="000000"/>
                <w:sz w:val="16"/>
                <w:szCs w:val="16"/>
              </w:rPr>
              <w:t>$</w:t>
            </w:r>
            <w:r w:rsidR="004F5534">
              <w:rPr>
                <w:rFonts w:cs="Arial"/>
                <w:color w:val="000000"/>
                <w:sz w:val="16"/>
                <w:szCs w:val="16"/>
              </w:rPr>
              <w:t>25</w:t>
            </w:r>
            <w:r>
              <w:rPr>
                <w:rFonts w:cs="Arial"/>
                <w:color w:val="000000"/>
                <w:sz w:val="16"/>
                <w:szCs w:val="16"/>
              </w:rPr>
              <w:t>,</w:t>
            </w:r>
            <w:r w:rsidR="004363F8">
              <w:rPr>
                <w:rFonts w:cs="Arial"/>
                <w:color w:val="000000"/>
                <w:sz w:val="16"/>
                <w:szCs w:val="16"/>
              </w:rPr>
              <w:t>000</w:t>
            </w:r>
            <w:r>
              <w:rPr>
                <w:rFonts w:cs="Arial"/>
                <w:color w:val="000000"/>
                <w:sz w:val="16"/>
                <w:szCs w:val="16"/>
              </w:rPr>
              <w:t>.</w:t>
            </w:r>
            <w:r w:rsidR="004363F8">
              <w:rPr>
                <w:rFonts w:cs="Arial"/>
                <w:color w:val="000000"/>
                <w:sz w:val="16"/>
                <w:szCs w:val="16"/>
              </w:rPr>
              <w:t>00</w:t>
            </w:r>
            <w:r>
              <w:rPr>
                <w:rFonts w:cs="Arial"/>
                <w:color w:val="000000"/>
                <w:sz w:val="16"/>
                <w:szCs w:val="16"/>
              </w:rPr>
              <w:t xml:space="preserve"> </w:t>
            </w:r>
          </w:p>
        </w:tc>
      </w:tr>
      <w:tr w:rsidR="00DF73CE" w:rsidRPr="00D61A7A" w14:paraId="28E78DA7" w14:textId="77777777" w:rsidTr="00F95136">
        <w:tc>
          <w:tcPr>
            <w:tcW w:w="1608" w:type="dxa"/>
            <w:vMerge/>
            <w:vAlign w:val="center"/>
            <w:hideMark/>
          </w:tcPr>
          <w:p w14:paraId="6DA9C2CB" w14:textId="77777777" w:rsidR="00A15C93" w:rsidRPr="00D61A7A" w:rsidRDefault="00A15C93" w:rsidP="00A15C93">
            <w:pPr>
              <w:spacing w:after="0"/>
              <w:jc w:val="left"/>
              <w:rPr>
                <w:rFonts w:cs="Arial"/>
                <w:color w:val="000000"/>
                <w:sz w:val="16"/>
                <w:szCs w:val="16"/>
                <w:lang w:val="en-US"/>
              </w:rPr>
            </w:pPr>
          </w:p>
        </w:tc>
        <w:tc>
          <w:tcPr>
            <w:tcW w:w="1869" w:type="dxa"/>
            <w:vMerge/>
            <w:vAlign w:val="center"/>
            <w:hideMark/>
          </w:tcPr>
          <w:p w14:paraId="24A2E9B2" w14:textId="77777777" w:rsidR="00A15C93" w:rsidRPr="00D61A7A" w:rsidRDefault="00A15C93" w:rsidP="00A15C93">
            <w:pPr>
              <w:spacing w:after="0"/>
              <w:jc w:val="left"/>
              <w:rPr>
                <w:rFonts w:cs="Arial"/>
                <w:color w:val="000000"/>
                <w:sz w:val="16"/>
                <w:szCs w:val="16"/>
                <w:lang w:val="en-US"/>
              </w:rPr>
            </w:pPr>
          </w:p>
        </w:tc>
        <w:tc>
          <w:tcPr>
            <w:tcW w:w="630" w:type="dxa"/>
            <w:vMerge/>
            <w:vAlign w:val="center"/>
            <w:hideMark/>
          </w:tcPr>
          <w:p w14:paraId="18EC268F" w14:textId="77777777" w:rsidR="00A15C93" w:rsidRPr="00D61A7A" w:rsidRDefault="00A15C93" w:rsidP="00A15C93">
            <w:pPr>
              <w:spacing w:after="0"/>
              <w:jc w:val="left"/>
              <w:rPr>
                <w:rFonts w:cs="Arial"/>
                <w:color w:val="000000"/>
                <w:szCs w:val="22"/>
                <w:lang w:val="en-US"/>
              </w:rPr>
            </w:pPr>
          </w:p>
        </w:tc>
        <w:tc>
          <w:tcPr>
            <w:tcW w:w="630" w:type="dxa"/>
            <w:vMerge/>
            <w:vAlign w:val="center"/>
            <w:hideMark/>
          </w:tcPr>
          <w:p w14:paraId="36900E12" w14:textId="77777777" w:rsidR="00A15C93" w:rsidRPr="00D61A7A" w:rsidRDefault="00A15C93" w:rsidP="00A15C93">
            <w:pPr>
              <w:spacing w:after="0"/>
              <w:jc w:val="left"/>
              <w:rPr>
                <w:rFonts w:cs="Arial"/>
                <w:color w:val="000000"/>
                <w:szCs w:val="22"/>
                <w:lang w:val="en-US"/>
              </w:rPr>
            </w:pPr>
          </w:p>
        </w:tc>
        <w:tc>
          <w:tcPr>
            <w:tcW w:w="990" w:type="dxa"/>
            <w:vMerge/>
            <w:vAlign w:val="center"/>
            <w:hideMark/>
          </w:tcPr>
          <w:p w14:paraId="4F78A560" w14:textId="77777777" w:rsidR="00A15C93" w:rsidRPr="00D61A7A" w:rsidRDefault="00A15C93" w:rsidP="00A15C93">
            <w:pPr>
              <w:spacing w:after="0"/>
              <w:jc w:val="left"/>
              <w:rPr>
                <w:rFonts w:cs="Arial"/>
                <w:color w:val="000000"/>
                <w:sz w:val="16"/>
                <w:szCs w:val="16"/>
                <w:lang w:val="en-US"/>
              </w:rPr>
            </w:pPr>
          </w:p>
        </w:tc>
        <w:tc>
          <w:tcPr>
            <w:tcW w:w="810" w:type="dxa"/>
            <w:vMerge/>
            <w:vAlign w:val="center"/>
            <w:hideMark/>
          </w:tcPr>
          <w:p w14:paraId="626D2FBC" w14:textId="77777777" w:rsidR="00A15C93" w:rsidRPr="00D61A7A" w:rsidRDefault="00A15C93" w:rsidP="00A15C93">
            <w:pPr>
              <w:spacing w:after="0"/>
              <w:jc w:val="left"/>
              <w:rPr>
                <w:rFonts w:cs="Arial"/>
                <w:color w:val="000000"/>
                <w:sz w:val="16"/>
                <w:szCs w:val="16"/>
                <w:lang w:val="en-US"/>
              </w:rPr>
            </w:pPr>
          </w:p>
        </w:tc>
        <w:tc>
          <w:tcPr>
            <w:tcW w:w="2160" w:type="dxa"/>
            <w:shd w:val="clear" w:color="auto" w:fill="auto"/>
            <w:vAlign w:val="center"/>
            <w:hideMark/>
          </w:tcPr>
          <w:p w14:paraId="11CD33AA" w14:textId="07635536" w:rsidR="00A15C93" w:rsidRDefault="004363F8" w:rsidP="00A15C93">
            <w:pPr>
              <w:rPr>
                <w:rFonts w:cs="Arial"/>
                <w:color w:val="000000"/>
                <w:sz w:val="16"/>
                <w:szCs w:val="16"/>
              </w:rPr>
            </w:pPr>
            <w:r>
              <w:rPr>
                <w:rFonts w:cs="Arial"/>
                <w:color w:val="000000"/>
                <w:sz w:val="16"/>
                <w:szCs w:val="16"/>
              </w:rPr>
              <w:t>Website &amp; electronic tools development</w:t>
            </w:r>
            <w:r w:rsidR="00A15C93">
              <w:rPr>
                <w:rFonts w:cs="Arial"/>
                <w:color w:val="000000"/>
                <w:sz w:val="16"/>
                <w:szCs w:val="16"/>
              </w:rPr>
              <w:t xml:space="preserve"> </w:t>
            </w:r>
          </w:p>
        </w:tc>
        <w:tc>
          <w:tcPr>
            <w:tcW w:w="1260" w:type="dxa"/>
            <w:shd w:val="clear" w:color="auto" w:fill="auto"/>
            <w:vAlign w:val="center"/>
            <w:hideMark/>
          </w:tcPr>
          <w:p w14:paraId="0843B79C" w14:textId="741F9C52" w:rsidR="00A15C93" w:rsidRDefault="00A15C93" w:rsidP="00A15C93">
            <w:pPr>
              <w:jc w:val="right"/>
              <w:rPr>
                <w:rFonts w:cs="Arial"/>
                <w:color w:val="000000"/>
                <w:sz w:val="16"/>
                <w:szCs w:val="16"/>
              </w:rPr>
            </w:pPr>
            <w:r>
              <w:rPr>
                <w:rFonts w:cs="Arial"/>
                <w:color w:val="000000"/>
                <w:sz w:val="16"/>
                <w:szCs w:val="16"/>
              </w:rPr>
              <w:t>$</w:t>
            </w:r>
            <w:r w:rsidR="00B13148">
              <w:rPr>
                <w:rFonts w:cs="Arial"/>
                <w:color w:val="000000"/>
                <w:sz w:val="16"/>
                <w:szCs w:val="16"/>
              </w:rPr>
              <w:t>5</w:t>
            </w:r>
            <w:r>
              <w:rPr>
                <w:rFonts w:cs="Arial"/>
                <w:color w:val="000000"/>
                <w:sz w:val="16"/>
                <w:szCs w:val="16"/>
              </w:rPr>
              <w:t>,</w:t>
            </w:r>
            <w:r w:rsidR="00AD49BA">
              <w:rPr>
                <w:rFonts w:cs="Arial"/>
                <w:color w:val="000000"/>
                <w:sz w:val="16"/>
                <w:szCs w:val="16"/>
              </w:rPr>
              <w:t>0</w:t>
            </w:r>
            <w:r>
              <w:rPr>
                <w:rFonts w:cs="Arial"/>
                <w:color w:val="000000"/>
                <w:sz w:val="16"/>
                <w:szCs w:val="16"/>
              </w:rPr>
              <w:t xml:space="preserve">00.00 </w:t>
            </w:r>
          </w:p>
        </w:tc>
      </w:tr>
      <w:tr w:rsidR="00DF73CE" w:rsidRPr="00D61A7A" w14:paraId="5023D0CC" w14:textId="77777777" w:rsidTr="00F95136">
        <w:tc>
          <w:tcPr>
            <w:tcW w:w="1608" w:type="dxa"/>
            <w:vMerge/>
            <w:vAlign w:val="center"/>
            <w:hideMark/>
          </w:tcPr>
          <w:p w14:paraId="5631F910" w14:textId="77777777" w:rsidR="00A15C93" w:rsidRPr="00D61A7A" w:rsidRDefault="00A15C93" w:rsidP="00A15C93">
            <w:pPr>
              <w:spacing w:after="0"/>
              <w:jc w:val="left"/>
              <w:rPr>
                <w:rFonts w:cs="Arial"/>
                <w:color w:val="000000"/>
                <w:sz w:val="16"/>
                <w:szCs w:val="16"/>
                <w:lang w:val="en-US"/>
              </w:rPr>
            </w:pPr>
          </w:p>
        </w:tc>
        <w:tc>
          <w:tcPr>
            <w:tcW w:w="1869" w:type="dxa"/>
            <w:vMerge w:val="restart"/>
            <w:shd w:val="clear" w:color="auto" w:fill="auto"/>
            <w:vAlign w:val="center"/>
            <w:hideMark/>
          </w:tcPr>
          <w:p w14:paraId="562CB9E5" w14:textId="6370286A" w:rsidR="00A15C93" w:rsidRPr="00D61A7A" w:rsidRDefault="00A15C93" w:rsidP="00A15C93">
            <w:pPr>
              <w:spacing w:after="0"/>
              <w:rPr>
                <w:rFonts w:cs="Arial"/>
                <w:color w:val="000000"/>
                <w:sz w:val="16"/>
                <w:szCs w:val="16"/>
                <w:lang w:val="en-US"/>
              </w:rPr>
            </w:pPr>
            <w:r w:rsidRPr="00D61A7A">
              <w:rPr>
                <w:rFonts w:cs="Arial"/>
                <w:iCs/>
                <w:color w:val="000000"/>
                <w:sz w:val="16"/>
              </w:rPr>
              <w:t xml:space="preserve">1.3: </w:t>
            </w:r>
            <w:r w:rsidR="00F11BCB" w:rsidRPr="00F11BCB">
              <w:rPr>
                <w:rFonts w:cs="Arial"/>
                <w:iCs/>
                <w:color w:val="000000"/>
                <w:sz w:val="16"/>
              </w:rPr>
              <w:t>Addressing digital literacy of youth and vulnerable men and women to combat radicalization</w:t>
            </w:r>
          </w:p>
        </w:tc>
        <w:tc>
          <w:tcPr>
            <w:tcW w:w="630" w:type="dxa"/>
            <w:vMerge w:val="restart"/>
            <w:shd w:val="clear" w:color="auto" w:fill="auto"/>
            <w:vAlign w:val="center"/>
            <w:hideMark/>
          </w:tcPr>
          <w:p w14:paraId="0CE4734A" w14:textId="77777777" w:rsidR="00A15C93" w:rsidRPr="00D61A7A" w:rsidRDefault="00A15C93" w:rsidP="00A15C93">
            <w:pPr>
              <w:spacing w:after="0"/>
              <w:rPr>
                <w:rFonts w:cs="Arial"/>
                <w:color w:val="000000"/>
                <w:szCs w:val="22"/>
                <w:lang w:val="en-US"/>
              </w:rPr>
            </w:pPr>
            <w:r w:rsidRPr="00D61A7A">
              <w:rPr>
                <w:rFonts w:cs="Arial"/>
                <w:color w:val="000000"/>
                <w:szCs w:val="22"/>
              </w:rPr>
              <w:t> </w:t>
            </w:r>
          </w:p>
        </w:tc>
        <w:tc>
          <w:tcPr>
            <w:tcW w:w="630" w:type="dxa"/>
            <w:vMerge w:val="restart"/>
            <w:shd w:val="clear" w:color="auto" w:fill="auto"/>
            <w:vAlign w:val="center"/>
            <w:hideMark/>
          </w:tcPr>
          <w:p w14:paraId="3327A358" w14:textId="77777777" w:rsidR="00A15C93" w:rsidRPr="00D61A7A" w:rsidRDefault="00A15C93" w:rsidP="00A15C93">
            <w:pPr>
              <w:spacing w:after="0"/>
              <w:rPr>
                <w:rFonts w:cs="Arial"/>
                <w:color w:val="000000"/>
                <w:szCs w:val="22"/>
                <w:lang w:val="en-US"/>
              </w:rPr>
            </w:pPr>
            <w:r w:rsidRPr="00D61A7A">
              <w:rPr>
                <w:rFonts w:cs="Arial"/>
                <w:color w:val="000000"/>
                <w:szCs w:val="22"/>
              </w:rPr>
              <w:t> </w:t>
            </w:r>
          </w:p>
        </w:tc>
        <w:tc>
          <w:tcPr>
            <w:tcW w:w="990" w:type="dxa"/>
            <w:vMerge w:val="restart"/>
            <w:shd w:val="clear" w:color="auto" w:fill="auto"/>
            <w:vAlign w:val="center"/>
            <w:hideMark/>
          </w:tcPr>
          <w:p w14:paraId="12B2290F" w14:textId="77777777" w:rsidR="00A15C93" w:rsidRPr="00D61A7A" w:rsidRDefault="00A15C93" w:rsidP="00A15C93">
            <w:pPr>
              <w:spacing w:after="0"/>
              <w:rPr>
                <w:rFonts w:cs="Arial"/>
                <w:color w:val="000000"/>
                <w:sz w:val="16"/>
                <w:szCs w:val="16"/>
                <w:lang w:val="en-US"/>
              </w:rPr>
            </w:pPr>
            <w:r w:rsidRPr="00D61A7A">
              <w:rPr>
                <w:rFonts w:cs="Arial"/>
                <w:color w:val="000000"/>
                <w:sz w:val="16"/>
                <w:szCs w:val="16"/>
              </w:rPr>
              <w:t>UNDP</w:t>
            </w:r>
          </w:p>
        </w:tc>
        <w:tc>
          <w:tcPr>
            <w:tcW w:w="810" w:type="dxa"/>
            <w:vMerge w:val="restart"/>
            <w:shd w:val="clear" w:color="auto" w:fill="auto"/>
            <w:vAlign w:val="center"/>
            <w:hideMark/>
          </w:tcPr>
          <w:p w14:paraId="57DDDFDE" w14:textId="77777777" w:rsidR="00A15C93" w:rsidRPr="00D61A7A" w:rsidRDefault="00A15C93" w:rsidP="00A15C93">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bottom"/>
          </w:tcPr>
          <w:p w14:paraId="75E2230F" w14:textId="74685086" w:rsidR="00A15C93" w:rsidRDefault="00810231" w:rsidP="00A15C93">
            <w:pPr>
              <w:jc w:val="left"/>
              <w:rPr>
                <w:rFonts w:cs="Arial"/>
                <w:color w:val="000000"/>
                <w:sz w:val="16"/>
                <w:szCs w:val="16"/>
              </w:rPr>
            </w:pPr>
            <w:r>
              <w:rPr>
                <w:rFonts w:cs="Arial"/>
                <w:color w:val="000000"/>
                <w:sz w:val="16"/>
                <w:szCs w:val="16"/>
              </w:rPr>
              <w:t>Online VE recruitment research (RFP)</w:t>
            </w:r>
          </w:p>
        </w:tc>
        <w:tc>
          <w:tcPr>
            <w:tcW w:w="1260" w:type="dxa"/>
            <w:shd w:val="clear" w:color="auto" w:fill="auto"/>
            <w:vAlign w:val="center"/>
          </w:tcPr>
          <w:p w14:paraId="7F67E75D" w14:textId="687D920E" w:rsidR="00A15C93" w:rsidRDefault="00A15C93" w:rsidP="00A15C93">
            <w:pPr>
              <w:jc w:val="right"/>
              <w:rPr>
                <w:rFonts w:cs="Arial"/>
                <w:color w:val="000000"/>
                <w:sz w:val="16"/>
                <w:szCs w:val="16"/>
              </w:rPr>
            </w:pPr>
            <w:r>
              <w:rPr>
                <w:rFonts w:cs="Arial"/>
                <w:color w:val="000000"/>
                <w:sz w:val="16"/>
                <w:szCs w:val="16"/>
              </w:rPr>
              <w:t>$</w:t>
            </w:r>
            <w:r w:rsidR="00810231">
              <w:rPr>
                <w:rFonts w:cs="Arial"/>
                <w:color w:val="000000"/>
                <w:sz w:val="16"/>
                <w:szCs w:val="16"/>
              </w:rPr>
              <w:t>250</w:t>
            </w:r>
            <w:r>
              <w:rPr>
                <w:rFonts w:cs="Arial"/>
                <w:color w:val="000000"/>
                <w:sz w:val="16"/>
                <w:szCs w:val="16"/>
              </w:rPr>
              <w:t xml:space="preserve">,000.00 </w:t>
            </w:r>
          </w:p>
        </w:tc>
      </w:tr>
      <w:tr w:rsidR="00DF73CE" w:rsidRPr="00D61A7A" w14:paraId="6FE4D9A0" w14:textId="77777777" w:rsidTr="00F95136">
        <w:tc>
          <w:tcPr>
            <w:tcW w:w="1608" w:type="dxa"/>
            <w:vMerge/>
            <w:vAlign w:val="center"/>
          </w:tcPr>
          <w:p w14:paraId="090DFF40" w14:textId="77777777" w:rsidR="00A15C93" w:rsidRPr="00D61A7A" w:rsidRDefault="00A15C93" w:rsidP="00A15C93">
            <w:pPr>
              <w:spacing w:after="0"/>
              <w:jc w:val="left"/>
              <w:rPr>
                <w:rFonts w:cs="Arial"/>
                <w:color w:val="000000"/>
                <w:sz w:val="16"/>
                <w:szCs w:val="16"/>
                <w:lang w:val="en-US"/>
              </w:rPr>
            </w:pPr>
          </w:p>
        </w:tc>
        <w:tc>
          <w:tcPr>
            <w:tcW w:w="1869" w:type="dxa"/>
            <w:vMerge/>
            <w:vAlign w:val="center"/>
          </w:tcPr>
          <w:p w14:paraId="7905E541" w14:textId="77777777" w:rsidR="00A15C93" w:rsidRPr="00D61A7A" w:rsidRDefault="00A15C93" w:rsidP="00A15C93">
            <w:pPr>
              <w:spacing w:after="0"/>
              <w:rPr>
                <w:rFonts w:cs="Arial"/>
                <w:iCs/>
                <w:color w:val="000000"/>
                <w:sz w:val="16"/>
              </w:rPr>
            </w:pPr>
          </w:p>
        </w:tc>
        <w:tc>
          <w:tcPr>
            <w:tcW w:w="630" w:type="dxa"/>
            <w:vMerge/>
            <w:vAlign w:val="center"/>
          </w:tcPr>
          <w:p w14:paraId="7238F8DA" w14:textId="77777777" w:rsidR="00A15C93" w:rsidRPr="00D61A7A" w:rsidRDefault="00A15C93" w:rsidP="00A15C93">
            <w:pPr>
              <w:spacing w:after="0"/>
              <w:rPr>
                <w:rFonts w:cs="Arial"/>
                <w:color w:val="000000"/>
                <w:szCs w:val="22"/>
              </w:rPr>
            </w:pPr>
          </w:p>
        </w:tc>
        <w:tc>
          <w:tcPr>
            <w:tcW w:w="630" w:type="dxa"/>
            <w:vMerge/>
            <w:vAlign w:val="center"/>
          </w:tcPr>
          <w:p w14:paraId="0EAFC859" w14:textId="77777777" w:rsidR="00A15C93" w:rsidRPr="00D61A7A" w:rsidRDefault="00A15C93" w:rsidP="00A15C93">
            <w:pPr>
              <w:spacing w:after="0"/>
              <w:rPr>
                <w:rFonts w:cs="Arial"/>
                <w:color w:val="000000"/>
                <w:szCs w:val="22"/>
              </w:rPr>
            </w:pPr>
          </w:p>
        </w:tc>
        <w:tc>
          <w:tcPr>
            <w:tcW w:w="990" w:type="dxa"/>
            <w:vMerge/>
            <w:vAlign w:val="center"/>
          </w:tcPr>
          <w:p w14:paraId="08A5A945" w14:textId="77777777" w:rsidR="00A15C93" w:rsidRPr="00D61A7A" w:rsidRDefault="00A15C93" w:rsidP="00A15C93">
            <w:pPr>
              <w:spacing w:after="0"/>
              <w:rPr>
                <w:rFonts w:cs="Arial"/>
                <w:color w:val="000000"/>
                <w:sz w:val="16"/>
                <w:szCs w:val="16"/>
              </w:rPr>
            </w:pPr>
          </w:p>
        </w:tc>
        <w:tc>
          <w:tcPr>
            <w:tcW w:w="810" w:type="dxa"/>
            <w:vMerge/>
            <w:vAlign w:val="center"/>
          </w:tcPr>
          <w:p w14:paraId="565B729D" w14:textId="77777777" w:rsidR="00A15C93" w:rsidRPr="00D61A7A" w:rsidRDefault="00A15C93" w:rsidP="00A15C93">
            <w:pPr>
              <w:spacing w:after="0"/>
              <w:rPr>
                <w:rFonts w:cs="Arial"/>
                <w:color w:val="000000"/>
                <w:sz w:val="16"/>
                <w:szCs w:val="16"/>
              </w:rPr>
            </w:pPr>
          </w:p>
        </w:tc>
        <w:tc>
          <w:tcPr>
            <w:tcW w:w="2160" w:type="dxa"/>
            <w:shd w:val="clear" w:color="auto" w:fill="auto"/>
            <w:vAlign w:val="center"/>
          </w:tcPr>
          <w:p w14:paraId="0D48D3DE" w14:textId="506AD8F1" w:rsidR="00A15C93" w:rsidRDefault="006A7396" w:rsidP="00A15C93">
            <w:pPr>
              <w:rPr>
                <w:rFonts w:cs="Arial"/>
                <w:color w:val="000000"/>
                <w:sz w:val="16"/>
                <w:szCs w:val="16"/>
              </w:rPr>
            </w:pPr>
            <w:r>
              <w:rPr>
                <w:rFonts w:cs="Arial"/>
                <w:color w:val="000000"/>
                <w:sz w:val="16"/>
                <w:szCs w:val="16"/>
              </w:rPr>
              <w:t>PVE Research Coordinator (consultant)</w:t>
            </w:r>
          </w:p>
        </w:tc>
        <w:tc>
          <w:tcPr>
            <w:tcW w:w="1260" w:type="dxa"/>
            <w:shd w:val="clear" w:color="auto" w:fill="auto"/>
            <w:vAlign w:val="center"/>
          </w:tcPr>
          <w:p w14:paraId="3DF4B587" w14:textId="50D78F68" w:rsidR="00A15C93" w:rsidRDefault="00A15C93" w:rsidP="00A15C93">
            <w:pPr>
              <w:jc w:val="right"/>
              <w:rPr>
                <w:rFonts w:cs="Arial"/>
                <w:color w:val="000000"/>
                <w:sz w:val="16"/>
                <w:szCs w:val="16"/>
              </w:rPr>
            </w:pPr>
            <w:r>
              <w:rPr>
                <w:rFonts w:cs="Arial"/>
                <w:color w:val="000000"/>
                <w:sz w:val="16"/>
                <w:szCs w:val="16"/>
              </w:rPr>
              <w:t>$</w:t>
            </w:r>
            <w:r w:rsidR="006A7396">
              <w:rPr>
                <w:rFonts w:cs="Arial"/>
                <w:color w:val="000000"/>
                <w:sz w:val="16"/>
                <w:szCs w:val="16"/>
              </w:rPr>
              <w:t>10</w:t>
            </w:r>
            <w:r>
              <w:rPr>
                <w:rFonts w:cs="Arial"/>
                <w:color w:val="000000"/>
                <w:sz w:val="16"/>
                <w:szCs w:val="16"/>
              </w:rPr>
              <w:t xml:space="preserve">0,000.00 </w:t>
            </w:r>
          </w:p>
        </w:tc>
      </w:tr>
      <w:tr w:rsidR="00DF73CE" w:rsidRPr="00D61A7A" w14:paraId="394AB433" w14:textId="77777777" w:rsidTr="00F95136">
        <w:tc>
          <w:tcPr>
            <w:tcW w:w="1608" w:type="dxa"/>
            <w:vMerge/>
            <w:vAlign w:val="center"/>
          </w:tcPr>
          <w:p w14:paraId="05E6D48F" w14:textId="77777777" w:rsidR="00EE2AFA" w:rsidRPr="00D61A7A" w:rsidRDefault="00EE2AFA" w:rsidP="00A15C93">
            <w:pPr>
              <w:spacing w:after="0"/>
              <w:jc w:val="left"/>
              <w:rPr>
                <w:rFonts w:cs="Arial"/>
                <w:color w:val="000000"/>
                <w:sz w:val="16"/>
                <w:szCs w:val="16"/>
                <w:lang w:val="en-US"/>
              </w:rPr>
            </w:pPr>
          </w:p>
        </w:tc>
        <w:tc>
          <w:tcPr>
            <w:tcW w:w="1869" w:type="dxa"/>
            <w:vMerge/>
            <w:vAlign w:val="center"/>
          </w:tcPr>
          <w:p w14:paraId="03752C66" w14:textId="77777777" w:rsidR="00EE2AFA" w:rsidRPr="00D61A7A" w:rsidRDefault="00EE2AFA" w:rsidP="00A15C93">
            <w:pPr>
              <w:spacing w:after="0"/>
              <w:jc w:val="left"/>
              <w:rPr>
                <w:rFonts w:cs="Arial"/>
                <w:color w:val="000000"/>
                <w:sz w:val="16"/>
                <w:szCs w:val="16"/>
                <w:lang w:val="en-US"/>
              </w:rPr>
            </w:pPr>
          </w:p>
        </w:tc>
        <w:tc>
          <w:tcPr>
            <w:tcW w:w="630" w:type="dxa"/>
            <w:vMerge/>
            <w:vAlign w:val="center"/>
          </w:tcPr>
          <w:p w14:paraId="4134EC3E" w14:textId="77777777" w:rsidR="00EE2AFA" w:rsidRPr="00D61A7A" w:rsidRDefault="00EE2AFA" w:rsidP="00A15C93">
            <w:pPr>
              <w:spacing w:after="0"/>
              <w:jc w:val="left"/>
              <w:rPr>
                <w:rFonts w:cs="Arial"/>
                <w:color w:val="000000"/>
                <w:szCs w:val="22"/>
                <w:lang w:val="en-US"/>
              </w:rPr>
            </w:pPr>
          </w:p>
        </w:tc>
        <w:tc>
          <w:tcPr>
            <w:tcW w:w="630" w:type="dxa"/>
            <w:vMerge/>
            <w:vAlign w:val="center"/>
          </w:tcPr>
          <w:p w14:paraId="2657E04A" w14:textId="77777777" w:rsidR="00EE2AFA" w:rsidRPr="00D61A7A" w:rsidRDefault="00EE2AFA" w:rsidP="00A15C93">
            <w:pPr>
              <w:spacing w:after="0"/>
              <w:jc w:val="left"/>
              <w:rPr>
                <w:rFonts w:cs="Arial"/>
                <w:color w:val="000000"/>
                <w:szCs w:val="22"/>
                <w:lang w:val="en-US"/>
              </w:rPr>
            </w:pPr>
          </w:p>
        </w:tc>
        <w:tc>
          <w:tcPr>
            <w:tcW w:w="990" w:type="dxa"/>
            <w:vMerge/>
            <w:vAlign w:val="center"/>
          </w:tcPr>
          <w:p w14:paraId="14444197" w14:textId="77777777" w:rsidR="00EE2AFA" w:rsidRPr="00D61A7A" w:rsidRDefault="00EE2AFA" w:rsidP="00A15C93">
            <w:pPr>
              <w:spacing w:after="0"/>
              <w:jc w:val="left"/>
              <w:rPr>
                <w:rFonts w:cs="Arial"/>
                <w:color w:val="000000"/>
                <w:sz w:val="16"/>
                <w:szCs w:val="16"/>
                <w:lang w:val="en-US"/>
              </w:rPr>
            </w:pPr>
          </w:p>
        </w:tc>
        <w:tc>
          <w:tcPr>
            <w:tcW w:w="810" w:type="dxa"/>
            <w:vMerge/>
            <w:vAlign w:val="center"/>
          </w:tcPr>
          <w:p w14:paraId="1994F501" w14:textId="77777777" w:rsidR="00EE2AFA" w:rsidRPr="00D61A7A" w:rsidRDefault="00EE2AFA" w:rsidP="00A15C93">
            <w:pPr>
              <w:spacing w:after="0"/>
              <w:jc w:val="left"/>
              <w:rPr>
                <w:rFonts w:cs="Arial"/>
                <w:color w:val="000000"/>
                <w:sz w:val="16"/>
                <w:szCs w:val="16"/>
                <w:lang w:val="en-US"/>
              </w:rPr>
            </w:pPr>
          </w:p>
        </w:tc>
        <w:tc>
          <w:tcPr>
            <w:tcW w:w="2160" w:type="dxa"/>
            <w:shd w:val="clear" w:color="auto" w:fill="auto"/>
            <w:vAlign w:val="center"/>
          </w:tcPr>
          <w:p w14:paraId="0287F538" w14:textId="4771CF55" w:rsidR="00EE2AFA" w:rsidRDefault="00EE2AFA" w:rsidP="00A15C93">
            <w:pPr>
              <w:rPr>
                <w:rFonts w:cs="Arial"/>
                <w:color w:val="000000"/>
                <w:sz w:val="16"/>
                <w:szCs w:val="16"/>
              </w:rPr>
            </w:pPr>
            <w:r>
              <w:rPr>
                <w:rFonts w:cs="Arial"/>
                <w:color w:val="000000"/>
                <w:sz w:val="16"/>
                <w:szCs w:val="16"/>
              </w:rPr>
              <w:t>Capacity building and training (accessing digital literacy for youth)</w:t>
            </w:r>
          </w:p>
        </w:tc>
        <w:tc>
          <w:tcPr>
            <w:tcW w:w="1260" w:type="dxa"/>
            <w:shd w:val="clear" w:color="auto" w:fill="auto"/>
            <w:vAlign w:val="center"/>
          </w:tcPr>
          <w:p w14:paraId="34D70E41" w14:textId="7C38F884" w:rsidR="00EE2AFA" w:rsidRDefault="00EE2AFA" w:rsidP="00A15C93">
            <w:pPr>
              <w:jc w:val="right"/>
              <w:rPr>
                <w:rFonts w:cs="Arial"/>
                <w:color w:val="000000"/>
                <w:sz w:val="16"/>
                <w:szCs w:val="16"/>
              </w:rPr>
            </w:pPr>
            <w:r>
              <w:rPr>
                <w:rFonts w:cs="Arial"/>
                <w:color w:val="000000"/>
                <w:sz w:val="16"/>
                <w:szCs w:val="16"/>
              </w:rPr>
              <w:t>$3</w:t>
            </w:r>
            <w:r w:rsidR="008868D2">
              <w:rPr>
                <w:rFonts w:cs="Arial"/>
                <w:color w:val="000000"/>
                <w:sz w:val="16"/>
                <w:szCs w:val="16"/>
              </w:rPr>
              <w:t>14</w:t>
            </w:r>
            <w:r>
              <w:rPr>
                <w:rFonts w:cs="Arial"/>
                <w:color w:val="000000"/>
                <w:sz w:val="16"/>
                <w:szCs w:val="16"/>
              </w:rPr>
              <w:t>,</w:t>
            </w:r>
            <w:r w:rsidR="008868D2">
              <w:rPr>
                <w:rFonts w:cs="Arial"/>
                <w:color w:val="000000"/>
                <w:sz w:val="16"/>
                <w:szCs w:val="16"/>
              </w:rPr>
              <w:t>25</w:t>
            </w:r>
            <w:r>
              <w:rPr>
                <w:rFonts w:cs="Arial"/>
                <w:color w:val="000000"/>
                <w:sz w:val="16"/>
                <w:szCs w:val="16"/>
              </w:rPr>
              <w:t>0.00</w:t>
            </w:r>
          </w:p>
        </w:tc>
      </w:tr>
      <w:tr w:rsidR="008868D2" w:rsidRPr="00D61A7A" w14:paraId="4B9DE323" w14:textId="77777777" w:rsidTr="00F95136">
        <w:tc>
          <w:tcPr>
            <w:tcW w:w="1608" w:type="dxa"/>
            <w:vMerge/>
            <w:vAlign w:val="center"/>
          </w:tcPr>
          <w:p w14:paraId="17AC3A19" w14:textId="77777777" w:rsidR="008868D2" w:rsidRPr="00D61A7A" w:rsidRDefault="008868D2" w:rsidP="00A15C93">
            <w:pPr>
              <w:spacing w:after="0"/>
              <w:jc w:val="left"/>
              <w:rPr>
                <w:rFonts w:cs="Arial"/>
                <w:color w:val="000000"/>
                <w:sz w:val="16"/>
                <w:szCs w:val="16"/>
                <w:lang w:val="en-US"/>
              </w:rPr>
            </w:pPr>
          </w:p>
        </w:tc>
        <w:tc>
          <w:tcPr>
            <w:tcW w:w="1869" w:type="dxa"/>
            <w:vMerge/>
            <w:vAlign w:val="center"/>
          </w:tcPr>
          <w:p w14:paraId="453D8D66" w14:textId="77777777" w:rsidR="008868D2" w:rsidRPr="00D61A7A" w:rsidRDefault="008868D2" w:rsidP="00A15C93">
            <w:pPr>
              <w:spacing w:after="0"/>
              <w:jc w:val="left"/>
              <w:rPr>
                <w:rFonts w:cs="Arial"/>
                <w:color w:val="000000"/>
                <w:sz w:val="16"/>
                <w:szCs w:val="16"/>
                <w:lang w:val="en-US"/>
              </w:rPr>
            </w:pPr>
          </w:p>
        </w:tc>
        <w:tc>
          <w:tcPr>
            <w:tcW w:w="630" w:type="dxa"/>
            <w:vMerge/>
            <w:vAlign w:val="center"/>
          </w:tcPr>
          <w:p w14:paraId="6566645C" w14:textId="77777777" w:rsidR="008868D2" w:rsidRPr="00D61A7A" w:rsidRDefault="008868D2" w:rsidP="00A15C93">
            <w:pPr>
              <w:spacing w:after="0"/>
              <w:jc w:val="left"/>
              <w:rPr>
                <w:rFonts w:cs="Arial"/>
                <w:color w:val="000000"/>
                <w:szCs w:val="22"/>
                <w:lang w:val="en-US"/>
              </w:rPr>
            </w:pPr>
          </w:p>
        </w:tc>
        <w:tc>
          <w:tcPr>
            <w:tcW w:w="630" w:type="dxa"/>
            <w:vMerge/>
            <w:vAlign w:val="center"/>
          </w:tcPr>
          <w:p w14:paraId="24250340" w14:textId="77777777" w:rsidR="008868D2" w:rsidRPr="00D61A7A" w:rsidRDefault="008868D2" w:rsidP="00A15C93">
            <w:pPr>
              <w:spacing w:after="0"/>
              <w:jc w:val="left"/>
              <w:rPr>
                <w:rFonts w:cs="Arial"/>
                <w:color w:val="000000"/>
                <w:szCs w:val="22"/>
                <w:lang w:val="en-US"/>
              </w:rPr>
            </w:pPr>
          </w:p>
        </w:tc>
        <w:tc>
          <w:tcPr>
            <w:tcW w:w="990" w:type="dxa"/>
            <w:vMerge/>
            <w:vAlign w:val="center"/>
          </w:tcPr>
          <w:p w14:paraId="3AFA8252" w14:textId="77777777" w:rsidR="008868D2" w:rsidRPr="00D61A7A" w:rsidRDefault="008868D2" w:rsidP="00A15C93">
            <w:pPr>
              <w:spacing w:after="0"/>
              <w:jc w:val="left"/>
              <w:rPr>
                <w:rFonts w:cs="Arial"/>
                <w:color w:val="000000"/>
                <w:sz w:val="16"/>
                <w:szCs w:val="16"/>
                <w:lang w:val="en-US"/>
              </w:rPr>
            </w:pPr>
          </w:p>
        </w:tc>
        <w:tc>
          <w:tcPr>
            <w:tcW w:w="810" w:type="dxa"/>
            <w:vMerge/>
            <w:vAlign w:val="center"/>
          </w:tcPr>
          <w:p w14:paraId="376655FC" w14:textId="77777777" w:rsidR="008868D2" w:rsidRPr="00D61A7A" w:rsidRDefault="008868D2" w:rsidP="00A15C93">
            <w:pPr>
              <w:spacing w:after="0"/>
              <w:jc w:val="left"/>
              <w:rPr>
                <w:rFonts w:cs="Arial"/>
                <w:color w:val="000000"/>
                <w:sz w:val="16"/>
                <w:szCs w:val="16"/>
                <w:lang w:val="en-US"/>
              </w:rPr>
            </w:pPr>
          </w:p>
        </w:tc>
        <w:tc>
          <w:tcPr>
            <w:tcW w:w="2160" w:type="dxa"/>
            <w:shd w:val="clear" w:color="auto" w:fill="auto"/>
            <w:vAlign w:val="center"/>
          </w:tcPr>
          <w:p w14:paraId="6BFD8859" w14:textId="13CD535D" w:rsidR="008868D2" w:rsidRDefault="008868D2" w:rsidP="00A15C93">
            <w:pPr>
              <w:rPr>
                <w:rFonts w:cs="Arial"/>
                <w:color w:val="000000"/>
                <w:sz w:val="16"/>
                <w:szCs w:val="16"/>
              </w:rPr>
            </w:pPr>
            <w:r>
              <w:rPr>
                <w:rFonts w:cs="Arial"/>
                <w:color w:val="000000"/>
                <w:sz w:val="16"/>
                <w:szCs w:val="16"/>
              </w:rPr>
              <w:t>Market assessment on digital landscape</w:t>
            </w:r>
          </w:p>
        </w:tc>
        <w:tc>
          <w:tcPr>
            <w:tcW w:w="1260" w:type="dxa"/>
            <w:shd w:val="clear" w:color="auto" w:fill="auto"/>
            <w:vAlign w:val="center"/>
          </w:tcPr>
          <w:p w14:paraId="7864BC6F" w14:textId="5410AFEA" w:rsidR="008868D2" w:rsidRDefault="008868D2" w:rsidP="00A15C93">
            <w:pPr>
              <w:jc w:val="right"/>
              <w:rPr>
                <w:rFonts w:cs="Arial"/>
                <w:color w:val="000000"/>
                <w:sz w:val="16"/>
                <w:szCs w:val="16"/>
              </w:rPr>
            </w:pPr>
            <w:r>
              <w:rPr>
                <w:rFonts w:cs="Arial"/>
                <w:color w:val="000000"/>
                <w:sz w:val="16"/>
                <w:szCs w:val="16"/>
              </w:rPr>
              <w:t>$30,000</w:t>
            </w:r>
          </w:p>
        </w:tc>
      </w:tr>
      <w:tr w:rsidR="00DF73CE" w:rsidRPr="00D61A7A" w14:paraId="5D458A27" w14:textId="77777777" w:rsidTr="00F95136">
        <w:tc>
          <w:tcPr>
            <w:tcW w:w="1608" w:type="dxa"/>
            <w:vMerge/>
            <w:vAlign w:val="center"/>
          </w:tcPr>
          <w:p w14:paraId="3FBC1891" w14:textId="77777777" w:rsidR="00EE2AFA" w:rsidRPr="00D61A7A" w:rsidRDefault="00EE2AFA" w:rsidP="00A15C93">
            <w:pPr>
              <w:spacing w:after="0"/>
              <w:jc w:val="left"/>
              <w:rPr>
                <w:rFonts w:cs="Arial"/>
                <w:color w:val="000000"/>
                <w:sz w:val="16"/>
                <w:szCs w:val="16"/>
                <w:lang w:val="en-US"/>
              </w:rPr>
            </w:pPr>
          </w:p>
        </w:tc>
        <w:tc>
          <w:tcPr>
            <w:tcW w:w="1869" w:type="dxa"/>
            <w:vMerge/>
            <w:vAlign w:val="center"/>
          </w:tcPr>
          <w:p w14:paraId="2E074CAB" w14:textId="77777777" w:rsidR="00EE2AFA" w:rsidRPr="00D61A7A" w:rsidRDefault="00EE2AFA" w:rsidP="00A15C93">
            <w:pPr>
              <w:spacing w:after="0"/>
              <w:jc w:val="left"/>
              <w:rPr>
                <w:rFonts w:cs="Arial"/>
                <w:color w:val="000000"/>
                <w:sz w:val="16"/>
                <w:szCs w:val="16"/>
                <w:lang w:val="en-US"/>
              </w:rPr>
            </w:pPr>
          </w:p>
        </w:tc>
        <w:tc>
          <w:tcPr>
            <w:tcW w:w="630" w:type="dxa"/>
            <w:vMerge/>
            <w:vAlign w:val="center"/>
          </w:tcPr>
          <w:p w14:paraId="6914F55D" w14:textId="77777777" w:rsidR="00EE2AFA" w:rsidRPr="00D61A7A" w:rsidRDefault="00EE2AFA" w:rsidP="00A15C93">
            <w:pPr>
              <w:spacing w:after="0"/>
              <w:jc w:val="left"/>
              <w:rPr>
                <w:rFonts w:cs="Arial"/>
                <w:color w:val="000000"/>
                <w:szCs w:val="22"/>
                <w:lang w:val="en-US"/>
              </w:rPr>
            </w:pPr>
          </w:p>
        </w:tc>
        <w:tc>
          <w:tcPr>
            <w:tcW w:w="630" w:type="dxa"/>
            <w:vMerge/>
            <w:vAlign w:val="center"/>
          </w:tcPr>
          <w:p w14:paraId="6415E84B" w14:textId="77777777" w:rsidR="00EE2AFA" w:rsidRPr="00D61A7A" w:rsidRDefault="00EE2AFA" w:rsidP="00A15C93">
            <w:pPr>
              <w:spacing w:after="0"/>
              <w:jc w:val="left"/>
              <w:rPr>
                <w:rFonts w:cs="Arial"/>
                <w:color w:val="000000"/>
                <w:szCs w:val="22"/>
                <w:lang w:val="en-US"/>
              </w:rPr>
            </w:pPr>
          </w:p>
        </w:tc>
        <w:tc>
          <w:tcPr>
            <w:tcW w:w="990" w:type="dxa"/>
            <w:vMerge/>
            <w:vAlign w:val="center"/>
          </w:tcPr>
          <w:p w14:paraId="377D7A96" w14:textId="77777777" w:rsidR="00EE2AFA" w:rsidRPr="00D61A7A" w:rsidRDefault="00EE2AFA" w:rsidP="00A15C93">
            <w:pPr>
              <w:spacing w:after="0"/>
              <w:jc w:val="left"/>
              <w:rPr>
                <w:rFonts w:cs="Arial"/>
                <w:color w:val="000000"/>
                <w:sz w:val="16"/>
                <w:szCs w:val="16"/>
                <w:lang w:val="en-US"/>
              </w:rPr>
            </w:pPr>
          </w:p>
        </w:tc>
        <w:tc>
          <w:tcPr>
            <w:tcW w:w="810" w:type="dxa"/>
            <w:vMerge/>
            <w:vAlign w:val="center"/>
          </w:tcPr>
          <w:p w14:paraId="63D49133" w14:textId="77777777" w:rsidR="00EE2AFA" w:rsidRPr="00D61A7A" w:rsidRDefault="00EE2AFA" w:rsidP="00A15C93">
            <w:pPr>
              <w:spacing w:after="0"/>
              <w:jc w:val="left"/>
              <w:rPr>
                <w:rFonts w:cs="Arial"/>
                <w:color w:val="000000"/>
                <w:sz w:val="16"/>
                <w:szCs w:val="16"/>
                <w:lang w:val="en-US"/>
              </w:rPr>
            </w:pPr>
          </w:p>
        </w:tc>
        <w:tc>
          <w:tcPr>
            <w:tcW w:w="2160" w:type="dxa"/>
            <w:shd w:val="clear" w:color="auto" w:fill="auto"/>
            <w:vAlign w:val="center"/>
          </w:tcPr>
          <w:p w14:paraId="6CD34105" w14:textId="2E39A2C5" w:rsidR="00EE2AFA" w:rsidRDefault="00EE2AFA" w:rsidP="00A15C93">
            <w:pPr>
              <w:rPr>
                <w:rFonts w:cs="Arial"/>
                <w:color w:val="000000"/>
                <w:sz w:val="16"/>
                <w:szCs w:val="16"/>
              </w:rPr>
            </w:pPr>
            <w:r>
              <w:rPr>
                <w:rFonts w:cs="Arial"/>
                <w:color w:val="000000"/>
                <w:sz w:val="16"/>
                <w:szCs w:val="16"/>
              </w:rPr>
              <w:t>Rehabilitation of Innovation Hub</w:t>
            </w:r>
          </w:p>
        </w:tc>
        <w:tc>
          <w:tcPr>
            <w:tcW w:w="1260" w:type="dxa"/>
            <w:shd w:val="clear" w:color="auto" w:fill="auto"/>
            <w:vAlign w:val="center"/>
          </w:tcPr>
          <w:p w14:paraId="7F724171" w14:textId="36203AB9" w:rsidR="00EE2AFA" w:rsidRDefault="00EE2AFA" w:rsidP="00A15C93">
            <w:pPr>
              <w:jc w:val="right"/>
              <w:rPr>
                <w:rFonts w:cs="Arial"/>
                <w:color w:val="000000"/>
                <w:sz w:val="16"/>
                <w:szCs w:val="16"/>
              </w:rPr>
            </w:pPr>
            <w:r>
              <w:rPr>
                <w:rFonts w:cs="Arial"/>
                <w:color w:val="000000"/>
                <w:sz w:val="16"/>
                <w:szCs w:val="16"/>
              </w:rPr>
              <w:t>$</w:t>
            </w:r>
            <w:r w:rsidR="008868D2">
              <w:rPr>
                <w:rFonts w:cs="Arial"/>
                <w:color w:val="000000"/>
                <w:sz w:val="16"/>
                <w:szCs w:val="16"/>
              </w:rPr>
              <w:t>48</w:t>
            </w:r>
            <w:r>
              <w:rPr>
                <w:rFonts w:cs="Arial"/>
                <w:color w:val="000000"/>
                <w:sz w:val="16"/>
                <w:szCs w:val="16"/>
              </w:rPr>
              <w:t>,</w:t>
            </w:r>
            <w:r w:rsidR="008868D2">
              <w:rPr>
                <w:rFonts w:cs="Arial"/>
                <w:color w:val="000000"/>
                <w:sz w:val="16"/>
                <w:szCs w:val="16"/>
              </w:rPr>
              <w:t>4</w:t>
            </w:r>
            <w:r>
              <w:rPr>
                <w:rFonts w:cs="Arial"/>
                <w:color w:val="000000"/>
                <w:sz w:val="16"/>
                <w:szCs w:val="16"/>
              </w:rPr>
              <w:t>00.00</w:t>
            </w:r>
          </w:p>
        </w:tc>
      </w:tr>
      <w:tr w:rsidR="00DF73CE" w:rsidRPr="00D61A7A" w14:paraId="41EE2EAF" w14:textId="77777777" w:rsidTr="00F95136">
        <w:tc>
          <w:tcPr>
            <w:tcW w:w="1608" w:type="dxa"/>
            <w:vMerge/>
            <w:vAlign w:val="center"/>
            <w:hideMark/>
          </w:tcPr>
          <w:p w14:paraId="4AD64097" w14:textId="77777777" w:rsidR="00A15C93" w:rsidRPr="00D61A7A" w:rsidRDefault="00A15C93" w:rsidP="00A15C93">
            <w:pPr>
              <w:spacing w:after="0"/>
              <w:jc w:val="left"/>
              <w:rPr>
                <w:rFonts w:cs="Arial"/>
                <w:color w:val="000000"/>
                <w:sz w:val="16"/>
                <w:szCs w:val="16"/>
                <w:lang w:val="en-US"/>
              </w:rPr>
            </w:pPr>
          </w:p>
        </w:tc>
        <w:tc>
          <w:tcPr>
            <w:tcW w:w="1869" w:type="dxa"/>
            <w:vMerge/>
            <w:vAlign w:val="center"/>
            <w:hideMark/>
          </w:tcPr>
          <w:p w14:paraId="1878BBC9" w14:textId="77777777" w:rsidR="00A15C93" w:rsidRPr="00D61A7A" w:rsidRDefault="00A15C93" w:rsidP="00A15C93">
            <w:pPr>
              <w:spacing w:after="0"/>
              <w:jc w:val="left"/>
              <w:rPr>
                <w:rFonts w:cs="Arial"/>
                <w:color w:val="000000"/>
                <w:sz w:val="16"/>
                <w:szCs w:val="16"/>
                <w:lang w:val="en-US"/>
              </w:rPr>
            </w:pPr>
          </w:p>
        </w:tc>
        <w:tc>
          <w:tcPr>
            <w:tcW w:w="630" w:type="dxa"/>
            <w:vMerge/>
            <w:vAlign w:val="center"/>
            <w:hideMark/>
          </w:tcPr>
          <w:p w14:paraId="6AC8BE6C" w14:textId="77777777" w:rsidR="00A15C93" w:rsidRPr="00D61A7A" w:rsidRDefault="00A15C93" w:rsidP="00A15C93">
            <w:pPr>
              <w:spacing w:after="0"/>
              <w:jc w:val="left"/>
              <w:rPr>
                <w:rFonts w:cs="Arial"/>
                <w:color w:val="000000"/>
                <w:szCs w:val="22"/>
                <w:lang w:val="en-US"/>
              </w:rPr>
            </w:pPr>
          </w:p>
        </w:tc>
        <w:tc>
          <w:tcPr>
            <w:tcW w:w="630" w:type="dxa"/>
            <w:vMerge/>
            <w:vAlign w:val="center"/>
            <w:hideMark/>
          </w:tcPr>
          <w:p w14:paraId="323E1C1D" w14:textId="77777777" w:rsidR="00A15C93" w:rsidRPr="00D61A7A" w:rsidRDefault="00A15C93" w:rsidP="00A15C93">
            <w:pPr>
              <w:spacing w:after="0"/>
              <w:jc w:val="left"/>
              <w:rPr>
                <w:rFonts w:cs="Arial"/>
                <w:color w:val="000000"/>
                <w:szCs w:val="22"/>
                <w:lang w:val="en-US"/>
              </w:rPr>
            </w:pPr>
          </w:p>
        </w:tc>
        <w:tc>
          <w:tcPr>
            <w:tcW w:w="990" w:type="dxa"/>
            <w:vMerge/>
            <w:vAlign w:val="center"/>
            <w:hideMark/>
          </w:tcPr>
          <w:p w14:paraId="13C94726" w14:textId="77777777" w:rsidR="00A15C93" w:rsidRPr="00D61A7A" w:rsidRDefault="00A15C93" w:rsidP="00A15C93">
            <w:pPr>
              <w:spacing w:after="0"/>
              <w:jc w:val="left"/>
              <w:rPr>
                <w:rFonts w:cs="Arial"/>
                <w:color w:val="000000"/>
                <w:sz w:val="16"/>
                <w:szCs w:val="16"/>
                <w:lang w:val="en-US"/>
              </w:rPr>
            </w:pPr>
          </w:p>
        </w:tc>
        <w:tc>
          <w:tcPr>
            <w:tcW w:w="810" w:type="dxa"/>
            <w:vMerge/>
            <w:vAlign w:val="center"/>
            <w:hideMark/>
          </w:tcPr>
          <w:p w14:paraId="2BBB42A4" w14:textId="77777777" w:rsidR="00A15C93" w:rsidRPr="00D61A7A" w:rsidRDefault="00A15C93" w:rsidP="00A15C93">
            <w:pPr>
              <w:spacing w:after="0"/>
              <w:jc w:val="left"/>
              <w:rPr>
                <w:rFonts w:cs="Arial"/>
                <w:color w:val="000000"/>
                <w:sz w:val="16"/>
                <w:szCs w:val="16"/>
                <w:lang w:val="en-US"/>
              </w:rPr>
            </w:pPr>
          </w:p>
        </w:tc>
        <w:tc>
          <w:tcPr>
            <w:tcW w:w="2160" w:type="dxa"/>
            <w:shd w:val="clear" w:color="auto" w:fill="auto"/>
            <w:vAlign w:val="center"/>
            <w:hideMark/>
          </w:tcPr>
          <w:p w14:paraId="49F84C25" w14:textId="4B1D00E2" w:rsidR="00A15C93" w:rsidRDefault="00A2241D" w:rsidP="00A15C93">
            <w:pPr>
              <w:rPr>
                <w:rFonts w:cs="Arial"/>
                <w:color w:val="000000"/>
                <w:sz w:val="16"/>
                <w:szCs w:val="16"/>
              </w:rPr>
            </w:pPr>
            <w:r>
              <w:rPr>
                <w:rFonts w:cs="Arial"/>
                <w:color w:val="000000"/>
                <w:sz w:val="16"/>
                <w:szCs w:val="16"/>
              </w:rPr>
              <w:t>Travel &amp; transportation</w:t>
            </w:r>
          </w:p>
        </w:tc>
        <w:tc>
          <w:tcPr>
            <w:tcW w:w="1260" w:type="dxa"/>
            <w:shd w:val="clear" w:color="auto" w:fill="auto"/>
            <w:vAlign w:val="center"/>
            <w:hideMark/>
          </w:tcPr>
          <w:p w14:paraId="558DF49E" w14:textId="1844C4E8" w:rsidR="00A15C93" w:rsidRDefault="00A15C93" w:rsidP="00A15C93">
            <w:pPr>
              <w:jc w:val="right"/>
              <w:rPr>
                <w:rFonts w:cs="Arial"/>
                <w:color w:val="000000"/>
                <w:sz w:val="16"/>
                <w:szCs w:val="16"/>
              </w:rPr>
            </w:pPr>
            <w:r>
              <w:rPr>
                <w:rFonts w:cs="Arial"/>
                <w:color w:val="000000"/>
                <w:sz w:val="16"/>
                <w:szCs w:val="16"/>
              </w:rPr>
              <w:t>$</w:t>
            </w:r>
            <w:r w:rsidR="00B13148">
              <w:rPr>
                <w:rFonts w:cs="Arial"/>
                <w:color w:val="000000"/>
                <w:sz w:val="16"/>
                <w:szCs w:val="16"/>
              </w:rPr>
              <w:t>3</w:t>
            </w:r>
            <w:r w:rsidR="00A2241D">
              <w:rPr>
                <w:rFonts w:cs="Arial"/>
                <w:color w:val="000000"/>
                <w:sz w:val="16"/>
                <w:szCs w:val="16"/>
              </w:rPr>
              <w:t>0</w:t>
            </w:r>
            <w:r>
              <w:rPr>
                <w:rFonts w:cs="Arial"/>
                <w:color w:val="000000"/>
                <w:sz w:val="16"/>
                <w:szCs w:val="16"/>
              </w:rPr>
              <w:t>,</w:t>
            </w:r>
            <w:r w:rsidR="00A2241D">
              <w:rPr>
                <w:rFonts w:cs="Arial"/>
                <w:color w:val="000000"/>
                <w:sz w:val="16"/>
                <w:szCs w:val="16"/>
              </w:rPr>
              <w:t>00</w:t>
            </w:r>
            <w:r>
              <w:rPr>
                <w:rFonts w:cs="Arial"/>
                <w:color w:val="000000"/>
                <w:sz w:val="16"/>
                <w:szCs w:val="16"/>
              </w:rPr>
              <w:t xml:space="preserve">0.00 </w:t>
            </w:r>
          </w:p>
        </w:tc>
      </w:tr>
      <w:tr w:rsidR="00DF73CE" w:rsidRPr="00D61A7A" w14:paraId="3631D979" w14:textId="77777777" w:rsidTr="00F95136">
        <w:trPr>
          <w:trHeight w:val="421"/>
        </w:trPr>
        <w:tc>
          <w:tcPr>
            <w:tcW w:w="1608" w:type="dxa"/>
            <w:vMerge/>
            <w:vAlign w:val="center"/>
            <w:hideMark/>
          </w:tcPr>
          <w:p w14:paraId="6981CEE1" w14:textId="77777777" w:rsidR="001E6BDC" w:rsidRPr="00D61A7A" w:rsidRDefault="001E6BDC" w:rsidP="001E6BDC">
            <w:pPr>
              <w:spacing w:after="0"/>
              <w:jc w:val="left"/>
              <w:rPr>
                <w:rFonts w:cs="Arial"/>
                <w:color w:val="000000"/>
                <w:sz w:val="16"/>
                <w:szCs w:val="16"/>
                <w:lang w:val="en-US"/>
              </w:rPr>
            </w:pPr>
          </w:p>
        </w:tc>
        <w:tc>
          <w:tcPr>
            <w:tcW w:w="7089" w:type="dxa"/>
            <w:gridSpan w:val="6"/>
            <w:shd w:val="clear" w:color="auto" w:fill="F2F2F2" w:themeFill="background1" w:themeFillShade="F2"/>
            <w:vAlign w:val="center"/>
            <w:hideMark/>
          </w:tcPr>
          <w:p w14:paraId="33EA8FBD" w14:textId="77777777" w:rsidR="001E6BDC" w:rsidRPr="00D61A7A" w:rsidRDefault="001E6BDC" w:rsidP="001E6BDC">
            <w:pPr>
              <w:spacing w:after="0"/>
              <w:jc w:val="left"/>
              <w:rPr>
                <w:rFonts w:cs="Arial"/>
                <w:b/>
                <w:bCs/>
                <w:color w:val="000000"/>
                <w:sz w:val="16"/>
                <w:szCs w:val="16"/>
                <w:lang w:val="en-US"/>
              </w:rPr>
            </w:pPr>
            <w:r w:rsidRPr="00D61A7A">
              <w:rPr>
                <w:rFonts w:cs="Arial"/>
                <w:b/>
                <w:bCs/>
                <w:color w:val="000000"/>
                <w:sz w:val="16"/>
                <w:szCs w:val="16"/>
              </w:rPr>
              <w:t>Sub-Total for Output 1</w:t>
            </w:r>
          </w:p>
        </w:tc>
        <w:tc>
          <w:tcPr>
            <w:tcW w:w="1260" w:type="dxa"/>
            <w:shd w:val="clear" w:color="auto" w:fill="F2F2F2" w:themeFill="background1" w:themeFillShade="F2"/>
            <w:vAlign w:val="center"/>
          </w:tcPr>
          <w:p w14:paraId="4899251E" w14:textId="1A548FF1" w:rsidR="001E6BDC" w:rsidRPr="00D61A7A" w:rsidRDefault="00874AB3" w:rsidP="001E6BDC">
            <w:pPr>
              <w:spacing w:after="0"/>
              <w:jc w:val="right"/>
              <w:rPr>
                <w:rFonts w:cs="Arial"/>
                <w:b/>
                <w:bCs/>
                <w:color w:val="000000"/>
                <w:sz w:val="16"/>
                <w:szCs w:val="16"/>
                <w:lang w:val="en-US"/>
              </w:rPr>
            </w:pPr>
            <w:r>
              <w:rPr>
                <w:rFonts w:cs="Arial"/>
                <w:b/>
                <w:bCs/>
                <w:color w:val="000000"/>
                <w:sz w:val="16"/>
                <w:szCs w:val="16"/>
                <w:lang w:val="en-US"/>
              </w:rPr>
              <w:t>$1,0</w:t>
            </w:r>
            <w:r w:rsidR="00B13148">
              <w:rPr>
                <w:rFonts w:cs="Arial"/>
                <w:b/>
                <w:bCs/>
                <w:color w:val="000000"/>
                <w:sz w:val="16"/>
                <w:szCs w:val="16"/>
                <w:lang w:val="en-US"/>
              </w:rPr>
              <w:t>09</w:t>
            </w:r>
            <w:r>
              <w:rPr>
                <w:rFonts w:cs="Arial"/>
                <w:b/>
                <w:bCs/>
                <w:color w:val="000000"/>
                <w:sz w:val="16"/>
                <w:szCs w:val="16"/>
                <w:lang w:val="en-US"/>
              </w:rPr>
              <w:t>,</w:t>
            </w:r>
            <w:r w:rsidR="00B13148">
              <w:rPr>
                <w:rFonts w:cs="Arial"/>
                <w:b/>
                <w:bCs/>
                <w:color w:val="000000"/>
                <w:sz w:val="16"/>
                <w:szCs w:val="16"/>
                <w:lang w:val="en-US"/>
              </w:rPr>
              <w:t>65</w:t>
            </w:r>
            <w:r>
              <w:rPr>
                <w:rFonts w:cs="Arial"/>
                <w:b/>
                <w:bCs/>
                <w:color w:val="000000"/>
                <w:sz w:val="16"/>
                <w:szCs w:val="16"/>
                <w:lang w:val="en-US"/>
              </w:rPr>
              <w:t>0.00</w:t>
            </w:r>
          </w:p>
        </w:tc>
      </w:tr>
      <w:tr w:rsidR="00DF73CE" w:rsidRPr="00D61A7A" w14:paraId="2E701D73" w14:textId="77777777" w:rsidTr="00F95136">
        <w:trPr>
          <w:trHeight w:val="40"/>
        </w:trPr>
        <w:tc>
          <w:tcPr>
            <w:tcW w:w="1608" w:type="dxa"/>
            <w:vMerge w:val="restart"/>
            <w:shd w:val="clear" w:color="auto" w:fill="auto"/>
            <w:vAlign w:val="center"/>
          </w:tcPr>
          <w:p w14:paraId="12DF41E6" w14:textId="041035B2" w:rsidR="00FF24B8" w:rsidRPr="00D61A7A" w:rsidRDefault="00FF24B8" w:rsidP="004B1E7C">
            <w:pPr>
              <w:spacing w:after="0"/>
              <w:rPr>
                <w:rFonts w:cs="Arial"/>
                <w:bCs/>
                <w:color w:val="000000"/>
                <w:sz w:val="16"/>
                <w:szCs w:val="16"/>
              </w:rPr>
            </w:pPr>
            <w:r w:rsidRPr="00D61A7A">
              <w:rPr>
                <w:rFonts w:cs="Arial"/>
                <w:bCs/>
                <w:color w:val="000000"/>
                <w:sz w:val="16"/>
                <w:szCs w:val="16"/>
              </w:rPr>
              <w:t>Output 2</w:t>
            </w:r>
            <w:r w:rsidR="00292E35">
              <w:rPr>
                <w:rFonts w:cs="Arial"/>
                <w:bCs/>
                <w:color w:val="000000"/>
                <w:sz w:val="16"/>
                <w:szCs w:val="16"/>
              </w:rPr>
              <w:t>:</w:t>
            </w:r>
            <w:r w:rsidRPr="00D61A7A">
              <w:rPr>
                <w:rFonts w:cs="Arial"/>
                <w:bCs/>
                <w:color w:val="000000"/>
                <w:sz w:val="16"/>
                <w:szCs w:val="16"/>
              </w:rPr>
              <w:t xml:space="preserve"> </w:t>
            </w:r>
            <w:r w:rsidR="00292E35" w:rsidRPr="00292E35">
              <w:rPr>
                <w:rFonts w:cs="Arial"/>
                <w:bCs/>
                <w:color w:val="000000"/>
                <w:sz w:val="16"/>
                <w:szCs w:val="16"/>
              </w:rPr>
              <w:t xml:space="preserve">Cities and communities become more resilient to crisis and social and community </w:t>
            </w:r>
            <w:r w:rsidR="00292E35" w:rsidRPr="00292E35">
              <w:rPr>
                <w:rFonts w:cs="Arial"/>
                <w:bCs/>
                <w:color w:val="000000"/>
                <w:sz w:val="16"/>
                <w:szCs w:val="16"/>
              </w:rPr>
              <w:lastRenderedPageBreak/>
              <w:t xml:space="preserve">insecurities through enhanced community engagement and increased trust between communities and government authorities. </w:t>
            </w:r>
          </w:p>
        </w:tc>
        <w:tc>
          <w:tcPr>
            <w:tcW w:w="1869" w:type="dxa"/>
            <w:vMerge w:val="restart"/>
            <w:shd w:val="clear" w:color="auto" w:fill="auto"/>
            <w:vAlign w:val="center"/>
          </w:tcPr>
          <w:p w14:paraId="19EFC5B6" w14:textId="08A22DE0" w:rsidR="00FF24B8" w:rsidRPr="00D61A7A" w:rsidRDefault="00FF24B8" w:rsidP="004B1E7C">
            <w:pPr>
              <w:spacing w:after="0"/>
              <w:rPr>
                <w:rFonts w:cs="Arial"/>
                <w:iCs/>
                <w:color w:val="000000"/>
                <w:sz w:val="16"/>
              </w:rPr>
            </w:pPr>
            <w:r w:rsidRPr="00D61A7A">
              <w:rPr>
                <w:rFonts w:cs="Arial"/>
                <w:iCs/>
                <w:color w:val="000000"/>
                <w:sz w:val="16"/>
              </w:rPr>
              <w:lastRenderedPageBreak/>
              <w:t xml:space="preserve">2.1 </w:t>
            </w:r>
            <w:r w:rsidRPr="00762221">
              <w:rPr>
                <w:rFonts w:cs="Arial"/>
                <w:iCs/>
                <w:color w:val="000000"/>
                <w:sz w:val="16"/>
              </w:rPr>
              <w:t xml:space="preserve">Establishing a community-level risk dashboard to monitor and trace early signs of vulnerabilities in the cities/communities </w:t>
            </w:r>
            <w:r w:rsidRPr="00762221">
              <w:rPr>
                <w:rFonts w:cs="Arial"/>
                <w:iCs/>
                <w:color w:val="000000"/>
                <w:sz w:val="16"/>
              </w:rPr>
              <w:lastRenderedPageBreak/>
              <w:t>through community engagement</w:t>
            </w:r>
          </w:p>
        </w:tc>
        <w:tc>
          <w:tcPr>
            <w:tcW w:w="630" w:type="dxa"/>
            <w:shd w:val="clear" w:color="auto" w:fill="auto"/>
            <w:vAlign w:val="center"/>
          </w:tcPr>
          <w:p w14:paraId="1E809097" w14:textId="77777777" w:rsidR="00FF24B8" w:rsidRPr="00D61A7A" w:rsidRDefault="00FF24B8" w:rsidP="004B1E7C">
            <w:pPr>
              <w:spacing w:after="0"/>
              <w:rPr>
                <w:rFonts w:cs="Arial"/>
                <w:color w:val="000000"/>
                <w:szCs w:val="22"/>
              </w:rPr>
            </w:pPr>
          </w:p>
        </w:tc>
        <w:tc>
          <w:tcPr>
            <w:tcW w:w="630" w:type="dxa"/>
            <w:shd w:val="clear" w:color="auto" w:fill="auto"/>
            <w:vAlign w:val="center"/>
          </w:tcPr>
          <w:p w14:paraId="4537B08B" w14:textId="77777777" w:rsidR="00FF24B8" w:rsidRPr="00D61A7A" w:rsidRDefault="00FF24B8" w:rsidP="004B1E7C">
            <w:pPr>
              <w:spacing w:after="0"/>
              <w:rPr>
                <w:rFonts w:cs="Arial"/>
                <w:color w:val="000000"/>
                <w:szCs w:val="22"/>
              </w:rPr>
            </w:pPr>
          </w:p>
        </w:tc>
        <w:tc>
          <w:tcPr>
            <w:tcW w:w="990" w:type="dxa"/>
            <w:shd w:val="clear" w:color="auto" w:fill="auto"/>
            <w:vAlign w:val="center"/>
          </w:tcPr>
          <w:p w14:paraId="047CAD79" w14:textId="11ADD6A5" w:rsidR="00FF24B8" w:rsidRPr="00D61A7A" w:rsidRDefault="00FF24B8" w:rsidP="004B1E7C">
            <w:pPr>
              <w:spacing w:after="0"/>
              <w:rPr>
                <w:rFonts w:cs="Arial"/>
                <w:color w:val="000000"/>
                <w:sz w:val="16"/>
                <w:szCs w:val="16"/>
              </w:rPr>
            </w:pPr>
            <w:r w:rsidRPr="00D61A7A">
              <w:rPr>
                <w:rFonts w:cs="Arial"/>
                <w:color w:val="000000"/>
                <w:sz w:val="16"/>
                <w:szCs w:val="16"/>
              </w:rPr>
              <w:t>UNDP</w:t>
            </w:r>
          </w:p>
        </w:tc>
        <w:tc>
          <w:tcPr>
            <w:tcW w:w="810" w:type="dxa"/>
            <w:shd w:val="clear" w:color="auto" w:fill="auto"/>
            <w:vAlign w:val="center"/>
          </w:tcPr>
          <w:p w14:paraId="3E17C0CA" w14:textId="1D041BE4" w:rsidR="00FF24B8" w:rsidRPr="00D61A7A" w:rsidRDefault="00FF24B8" w:rsidP="004B1E7C">
            <w:pPr>
              <w:spacing w:after="0"/>
              <w:rPr>
                <w:rFonts w:cs="Arial"/>
                <w:color w:val="000000"/>
                <w:sz w:val="16"/>
                <w:szCs w:val="16"/>
              </w:rPr>
            </w:pPr>
            <w:r w:rsidRPr="00D61A7A">
              <w:rPr>
                <w:rFonts w:cs="Arial"/>
                <w:color w:val="000000"/>
                <w:sz w:val="16"/>
                <w:szCs w:val="16"/>
              </w:rPr>
              <w:t>Japan</w:t>
            </w:r>
          </w:p>
        </w:tc>
        <w:tc>
          <w:tcPr>
            <w:tcW w:w="2160" w:type="dxa"/>
            <w:shd w:val="clear" w:color="auto" w:fill="auto"/>
            <w:vAlign w:val="center"/>
          </w:tcPr>
          <w:p w14:paraId="304BEA50" w14:textId="3644CDC7" w:rsidR="00FF24B8" w:rsidRDefault="00FF24B8" w:rsidP="004B1E7C">
            <w:pPr>
              <w:spacing w:after="0"/>
              <w:rPr>
                <w:rFonts w:cs="Arial"/>
                <w:color w:val="000000"/>
                <w:sz w:val="16"/>
                <w:szCs w:val="16"/>
              </w:rPr>
            </w:pPr>
            <w:r>
              <w:rPr>
                <w:rFonts w:cs="Arial"/>
                <w:color w:val="000000"/>
                <w:sz w:val="16"/>
                <w:szCs w:val="16"/>
              </w:rPr>
              <w:t>Human security and risk needs assessment</w:t>
            </w:r>
          </w:p>
        </w:tc>
        <w:tc>
          <w:tcPr>
            <w:tcW w:w="1260" w:type="dxa"/>
            <w:shd w:val="clear" w:color="auto" w:fill="auto"/>
            <w:vAlign w:val="center"/>
          </w:tcPr>
          <w:p w14:paraId="6B68CC3C" w14:textId="05DB3150" w:rsidR="00FF24B8" w:rsidRPr="00D61A7A" w:rsidRDefault="00FF24B8" w:rsidP="004B1E7C">
            <w:pPr>
              <w:spacing w:after="0"/>
              <w:jc w:val="right"/>
              <w:rPr>
                <w:rFonts w:cs="Arial"/>
                <w:color w:val="000000"/>
                <w:sz w:val="16"/>
                <w:szCs w:val="16"/>
              </w:rPr>
            </w:pPr>
            <w:r w:rsidRPr="00D61A7A">
              <w:rPr>
                <w:rFonts w:cs="Arial"/>
                <w:color w:val="000000"/>
                <w:sz w:val="16"/>
                <w:szCs w:val="16"/>
              </w:rPr>
              <w:t>$</w:t>
            </w:r>
            <w:r w:rsidR="00B13148">
              <w:rPr>
                <w:rFonts w:cs="Arial"/>
                <w:color w:val="000000"/>
                <w:sz w:val="16"/>
                <w:szCs w:val="16"/>
              </w:rPr>
              <w:t>3</w:t>
            </w:r>
            <w:r>
              <w:rPr>
                <w:rFonts w:cs="Arial"/>
                <w:color w:val="000000"/>
                <w:sz w:val="16"/>
                <w:szCs w:val="16"/>
              </w:rPr>
              <w:t>0</w:t>
            </w:r>
            <w:r w:rsidRPr="00D61A7A">
              <w:rPr>
                <w:rFonts w:cs="Arial"/>
                <w:color w:val="000000"/>
                <w:sz w:val="16"/>
                <w:szCs w:val="16"/>
              </w:rPr>
              <w:t xml:space="preserve">,000.00 </w:t>
            </w:r>
          </w:p>
        </w:tc>
      </w:tr>
      <w:tr w:rsidR="00DF73CE" w:rsidRPr="00D61A7A" w14:paraId="36D373F7" w14:textId="77777777" w:rsidTr="00F95136">
        <w:trPr>
          <w:trHeight w:val="253"/>
        </w:trPr>
        <w:tc>
          <w:tcPr>
            <w:tcW w:w="1608" w:type="dxa"/>
            <w:vMerge/>
            <w:vAlign w:val="center"/>
          </w:tcPr>
          <w:p w14:paraId="547AD5B6" w14:textId="77777777" w:rsidR="00FF24B8" w:rsidRPr="00D61A7A" w:rsidRDefault="00FF24B8" w:rsidP="00411613">
            <w:pPr>
              <w:spacing w:after="0"/>
              <w:rPr>
                <w:rFonts w:cs="Arial"/>
                <w:bCs/>
                <w:color w:val="000000"/>
                <w:sz w:val="16"/>
                <w:szCs w:val="16"/>
              </w:rPr>
            </w:pPr>
          </w:p>
        </w:tc>
        <w:tc>
          <w:tcPr>
            <w:tcW w:w="1869" w:type="dxa"/>
            <w:vMerge/>
            <w:vAlign w:val="center"/>
          </w:tcPr>
          <w:p w14:paraId="07658767" w14:textId="77777777" w:rsidR="00FF24B8" w:rsidRPr="00D61A7A" w:rsidRDefault="00FF24B8" w:rsidP="00411613">
            <w:pPr>
              <w:spacing w:after="0"/>
              <w:rPr>
                <w:rFonts w:cs="Arial"/>
                <w:iCs/>
                <w:color w:val="000000"/>
                <w:sz w:val="16"/>
              </w:rPr>
            </w:pPr>
          </w:p>
        </w:tc>
        <w:tc>
          <w:tcPr>
            <w:tcW w:w="630" w:type="dxa"/>
            <w:shd w:val="clear" w:color="auto" w:fill="auto"/>
            <w:vAlign w:val="center"/>
          </w:tcPr>
          <w:p w14:paraId="5D083D8D" w14:textId="77777777" w:rsidR="00FF24B8" w:rsidRPr="00D61A7A" w:rsidRDefault="00FF24B8" w:rsidP="00411613">
            <w:pPr>
              <w:spacing w:after="0"/>
              <w:rPr>
                <w:rFonts w:cs="Arial"/>
                <w:color w:val="000000"/>
                <w:szCs w:val="22"/>
              </w:rPr>
            </w:pPr>
          </w:p>
        </w:tc>
        <w:tc>
          <w:tcPr>
            <w:tcW w:w="630" w:type="dxa"/>
            <w:shd w:val="clear" w:color="auto" w:fill="auto"/>
            <w:vAlign w:val="center"/>
          </w:tcPr>
          <w:p w14:paraId="202E40D6" w14:textId="77777777" w:rsidR="00FF24B8" w:rsidRPr="00D61A7A" w:rsidRDefault="00FF24B8" w:rsidP="00411613">
            <w:pPr>
              <w:spacing w:after="0"/>
              <w:rPr>
                <w:rFonts w:cs="Arial"/>
                <w:color w:val="000000"/>
                <w:szCs w:val="22"/>
              </w:rPr>
            </w:pPr>
          </w:p>
        </w:tc>
        <w:tc>
          <w:tcPr>
            <w:tcW w:w="990" w:type="dxa"/>
            <w:shd w:val="clear" w:color="auto" w:fill="auto"/>
            <w:vAlign w:val="center"/>
          </w:tcPr>
          <w:p w14:paraId="297A19D3" w14:textId="58A6BEF3" w:rsidR="00FF24B8" w:rsidRPr="00D61A7A" w:rsidRDefault="00FF24B8" w:rsidP="00411613">
            <w:pPr>
              <w:spacing w:after="0"/>
              <w:rPr>
                <w:rFonts w:cs="Arial"/>
                <w:color w:val="000000"/>
                <w:sz w:val="16"/>
                <w:szCs w:val="16"/>
              </w:rPr>
            </w:pPr>
            <w:r w:rsidRPr="00D61A7A">
              <w:rPr>
                <w:rFonts w:cs="Arial"/>
                <w:color w:val="000000"/>
                <w:sz w:val="16"/>
                <w:szCs w:val="16"/>
              </w:rPr>
              <w:t>UNDP</w:t>
            </w:r>
          </w:p>
        </w:tc>
        <w:tc>
          <w:tcPr>
            <w:tcW w:w="810" w:type="dxa"/>
            <w:shd w:val="clear" w:color="auto" w:fill="auto"/>
            <w:vAlign w:val="center"/>
          </w:tcPr>
          <w:p w14:paraId="4C3D8373" w14:textId="530A3D16" w:rsidR="00FF24B8" w:rsidRPr="00D61A7A" w:rsidRDefault="00FF24B8" w:rsidP="00411613">
            <w:pPr>
              <w:spacing w:after="0"/>
              <w:rPr>
                <w:rFonts w:cs="Arial"/>
                <w:color w:val="000000"/>
                <w:sz w:val="16"/>
                <w:szCs w:val="16"/>
              </w:rPr>
            </w:pPr>
            <w:r w:rsidRPr="00D61A7A">
              <w:rPr>
                <w:rFonts w:cs="Arial"/>
                <w:color w:val="000000"/>
                <w:sz w:val="16"/>
                <w:szCs w:val="16"/>
              </w:rPr>
              <w:t>Japan</w:t>
            </w:r>
          </w:p>
        </w:tc>
        <w:tc>
          <w:tcPr>
            <w:tcW w:w="2160" w:type="dxa"/>
            <w:shd w:val="clear" w:color="auto" w:fill="auto"/>
            <w:vAlign w:val="center"/>
          </w:tcPr>
          <w:p w14:paraId="6EE8BDC6" w14:textId="2293D879" w:rsidR="00FF24B8" w:rsidRDefault="00FF24B8" w:rsidP="00411613">
            <w:pPr>
              <w:spacing w:after="0"/>
              <w:rPr>
                <w:rFonts w:cs="Arial"/>
                <w:color w:val="000000"/>
                <w:sz w:val="16"/>
                <w:szCs w:val="16"/>
              </w:rPr>
            </w:pPr>
            <w:r>
              <w:rPr>
                <w:rFonts w:cs="Arial"/>
                <w:color w:val="000000"/>
                <w:sz w:val="16"/>
                <w:szCs w:val="16"/>
                <w:lang w:val="en-US"/>
              </w:rPr>
              <w:t>Early warning system development</w:t>
            </w:r>
          </w:p>
        </w:tc>
        <w:tc>
          <w:tcPr>
            <w:tcW w:w="1260" w:type="dxa"/>
            <w:shd w:val="clear" w:color="auto" w:fill="auto"/>
            <w:vAlign w:val="center"/>
          </w:tcPr>
          <w:p w14:paraId="71C53D74" w14:textId="3233B069" w:rsidR="00FF24B8" w:rsidRPr="00D61A7A" w:rsidRDefault="00FF24B8" w:rsidP="00411613">
            <w:pPr>
              <w:spacing w:after="0"/>
              <w:jc w:val="right"/>
              <w:rPr>
                <w:rFonts w:cs="Arial"/>
                <w:color w:val="000000"/>
                <w:sz w:val="16"/>
                <w:szCs w:val="16"/>
              </w:rPr>
            </w:pPr>
            <w:r>
              <w:rPr>
                <w:rFonts w:cs="Arial"/>
                <w:color w:val="000000"/>
                <w:sz w:val="16"/>
                <w:szCs w:val="16"/>
                <w:lang w:val="en-US"/>
              </w:rPr>
              <w:t>$</w:t>
            </w:r>
            <w:r w:rsidR="001604EB">
              <w:rPr>
                <w:rFonts w:cs="Arial"/>
                <w:color w:val="000000"/>
                <w:sz w:val="16"/>
                <w:szCs w:val="16"/>
                <w:lang w:val="en-US"/>
              </w:rPr>
              <w:t>1</w:t>
            </w:r>
            <w:r>
              <w:rPr>
                <w:rFonts w:cs="Arial"/>
                <w:color w:val="000000"/>
                <w:sz w:val="16"/>
                <w:szCs w:val="16"/>
                <w:lang w:val="en-US"/>
              </w:rPr>
              <w:t>5,000.00</w:t>
            </w:r>
          </w:p>
        </w:tc>
      </w:tr>
      <w:tr w:rsidR="00DF73CE" w:rsidRPr="00D61A7A" w14:paraId="35D04C52" w14:textId="77777777" w:rsidTr="00F95136">
        <w:trPr>
          <w:trHeight w:val="253"/>
        </w:trPr>
        <w:tc>
          <w:tcPr>
            <w:tcW w:w="1608" w:type="dxa"/>
            <w:vMerge/>
            <w:vAlign w:val="center"/>
          </w:tcPr>
          <w:p w14:paraId="26D38826" w14:textId="77777777" w:rsidR="00FF24B8" w:rsidRPr="00D61A7A" w:rsidRDefault="00FF24B8" w:rsidP="00411613">
            <w:pPr>
              <w:spacing w:after="0"/>
              <w:rPr>
                <w:rFonts w:cs="Arial"/>
                <w:bCs/>
                <w:color w:val="000000"/>
                <w:sz w:val="16"/>
                <w:szCs w:val="16"/>
              </w:rPr>
            </w:pPr>
          </w:p>
        </w:tc>
        <w:tc>
          <w:tcPr>
            <w:tcW w:w="1869" w:type="dxa"/>
            <w:vMerge/>
            <w:vAlign w:val="center"/>
          </w:tcPr>
          <w:p w14:paraId="1C1ADED1" w14:textId="77777777" w:rsidR="00FF24B8" w:rsidRPr="00D61A7A" w:rsidRDefault="00FF24B8" w:rsidP="00411613">
            <w:pPr>
              <w:spacing w:after="0"/>
              <w:rPr>
                <w:rFonts w:cs="Arial"/>
                <w:iCs/>
                <w:color w:val="000000"/>
                <w:sz w:val="16"/>
              </w:rPr>
            </w:pPr>
          </w:p>
        </w:tc>
        <w:tc>
          <w:tcPr>
            <w:tcW w:w="630" w:type="dxa"/>
            <w:shd w:val="clear" w:color="auto" w:fill="auto"/>
            <w:vAlign w:val="center"/>
          </w:tcPr>
          <w:p w14:paraId="4DE2B691" w14:textId="77777777" w:rsidR="00FF24B8" w:rsidRPr="00D61A7A" w:rsidRDefault="00FF24B8" w:rsidP="00411613">
            <w:pPr>
              <w:spacing w:after="0"/>
              <w:rPr>
                <w:rFonts w:cs="Arial"/>
                <w:color w:val="000000"/>
                <w:szCs w:val="22"/>
              </w:rPr>
            </w:pPr>
          </w:p>
        </w:tc>
        <w:tc>
          <w:tcPr>
            <w:tcW w:w="630" w:type="dxa"/>
            <w:shd w:val="clear" w:color="auto" w:fill="auto"/>
            <w:vAlign w:val="center"/>
          </w:tcPr>
          <w:p w14:paraId="0D82ACD3" w14:textId="77777777" w:rsidR="00FF24B8" w:rsidRPr="00D61A7A" w:rsidRDefault="00FF24B8" w:rsidP="00411613">
            <w:pPr>
              <w:spacing w:after="0"/>
              <w:rPr>
                <w:rFonts w:cs="Arial"/>
                <w:color w:val="000000"/>
                <w:szCs w:val="22"/>
              </w:rPr>
            </w:pPr>
          </w:p>
        </w:tc>
        <w:tc>
          <w:tcPr>
            <w:tcW w:w="990" w:type="dxa"/>
            <w:shd w:val="clear" w:color="auto" w:fill="auto"/>
            <w:vAlign w:val="center"/>
          </w:tcPr>
          <w:p w14:paraId="692CCD74" w14:textId="48163360" w:rsidR="00FF24B8" w:rsidRPr="00D61A7A" w:rsidRDefault="00FF24B8" w:rsidP="00411613">
            <w:pPr>
              <w:spacing w:after="0"/>
              <w:rPr>
                <w:rFonts w:cs="Arial"/>
                <w:color w:val="000000"/>
                <w:sz w:val="16"/>
                <w:szCs w:val="16"/>
              </w:rPr>
            </w:pPr>
            <w:r>
              <w:rPr>
                <w:rFonts w:cs="Arial"/>
                <w:color w:val="000000"/>
                <w:sz w:val="16"/>
                <w:szCs w:val="16"/>
              </w:rPr>
              <w:t>UNDP</w:t>
            </w:r>
          </w:p>
        </w:tc>
        <w:tc>
          <w:tcPr>
            <w:tcW w:w="810" w:type="dxa"/>
            <w:shd w:val="clear" w:color="auto" w:fill="auto"/>
            <w:vAlign w:val="center"/>
          </w:tcPr>
          <w:p w14:paraId="76D2BAD2" w14:textId="6ADC5A9F" w:rsidR="00FF24B8" w:rsidRPr="00D61A7A" w:rsidRDefault="00FF24B8" w:rsidP="00411613">
            <w:pPr>
              <w:spacing w:after="0"/>
              <w:rPr>
                <w:rFonts w:cs="Arial"/>
                <w:color w:val="000000"/>
                <w:sz w:val="16"/>
                <w:szCs w:val="16"/>
              </w:rPr>
            </w:pPr>
            <w:r>
              <w:rPr>
                <w:rFonts w:cs="Arial"/>
                <w:color w:val="000000"/>
                <w:sz w:val="16"/>
                <w:szCs w:val="16"/>
              </w:rPr>
              <w:t>Japan</w:t>
            </w:r>
          </w:p>
        </w:tc>
        <w:tc>
          <w:tcPr>
            <w:tcW w:w="2160" w:type="dxa"/>
            <w:shd w:val="clear" w:color="auto" w:fill="auto"/>
            <w:vAlign w:val="center"/>
          </w:tcPr>
          <w:p w14:paraId="0D5608C5" w14:textId="452DC077" w:rsidR="00FF24B8" w:rsidRDefault="00FF24B8" w:rsidP="00411613">
            <w:pPr>
              <w:spacing w:after="0"/>
              <w:rPr>
                <w:rFonts w:cs="Arial"/>
                <w:color w:val="000000"/>
                <w:sz w:val="16"/>
                <w:szCs w:val="16"/>
                <w:lang w:val="en-US"/>
              </w:rPr>
            </w:pPr>
            <w:r>
              <w:rPr>
                <w:rFonts w:cs="Arial"/>
                <w:color w:val="000000"/>
                <w:sz w:val="16"/>
                <w:szCs w:val="16"/>
                <w:lang w:val="en-US"/>
              </w:rPr>
              <w:t>Capacity building &amp; workshop</w:t>
            </w:r>
          </w:p>
        </w:tc>
        <w:tc>
          <w:tcPr>
            <w:tcW w:w="1260" w:type="dxa"/>
            <w:shd w:val="clear" w:color="auto" w:fill="auto"/>
            <w:vAlign w:val="center"/>
          </w:tcPr>
          <w:p w14:paraId="389B386C" w14:textId="0EB29C54" w:rsidR="00FF24B8" w:rsidRDefault="00FF24B8" w:rsidP="00411613">
            <w:pPr>
              <w:spacing w:after="0"/>
              <w:jc w:val="right"/>
              <w:rPr>
                <w:rFonts w:cs="Arial"/>
                <w:color w:val="000000"/>
                <w:sz w:val="16"/>
                <w:szCs w:val="16"/>
                <w:lang w:val="en-US"/>
              </w:rPr>
            </w:pPr>
            <w:r>
              <w:rPr>
                <w:rFonts w:cs="Arial"/>
                <w:color w:val="000000"/>
                <w:sz w:val="16"/>
                <w:szCs w:val="16"/>
                <w:lang w:val="en-US"/>
              </w:rPr>
              <w:t>$</w:t>
            </w:r>
            <w:r w:rsidR="001604EB">
              <w:rPr>
                <w:rFonts w:cs="Arial"/>
                <w:color w:val="000000"/>
                <w:sz w:val="16"/>
                <w:szCs w:val="16"/>
                <w:lang w:val="en-US"/>
              </w:rPr>
              <w:t>20</w:t>
            </w:r>
            <w:r>
              <w:rPr>
                <w:rFonts w:cs="Arial"/>
                <w:color w:val="000000"/>
                <w:sz w:val="16"/>
                <w:szCs w:val="16"/>
                <w:lang w:val="en-US"/>
              </w:rPr>
              <w:t>,000.00</w:t>
            </w:r>
          </w:p>
        </w:tc>
      </w:tr>
      <w:tr w:rsidR="00DF73CE" w:rsidRPr="00D61A7A" w14:paraId="2C62C9CC" w14:textId="77777777" w:rsidTr="00F95136">
        <w:trPr>
          <w:trHeight w:val="2710"/>
        </w:trPr>
        <w:tc>
          <w:tcPr>
            <w:tcW w:w="1608" w:type="dxa"/>
            <w:vMerge/>
            <w:vAlign w:val="center"/>
            <w:hideMark/>
          </w:tcPr>
          <w:p w14:paraId="3170CE2D" w14:textId="32065C42" w:rsidR="00FF24B8" w:rsidRPr="00D61A7A" w:rsidRDefault="00FF24B8" w:rsidP="00411613">
            <w:pPr>
              <w:spacing w:after="0"/>
              <w:rPr>
                <w:rFonts w:cs="Arial"/>
                <w:color w:val="000000"/>
                <w:sz w:val="16"/>
                <w:szCs w:val="16"/>
                <w:lang w:val="en-US"/>
              </w:rPr>
            </w:pPr>
          </w:p>
        </w:tc>
        <w:tc>
          <w:tcPr>
            <w:tcW w:w="1869" w:type="dxa"/>
            <w:vMerge/>
            <w:vAlign w:val="center"/>
            <w:hideMark/>
          </w:tcPr>
          <w:p w14:paraId="4FA2584F" w14:textId="17F7631E" w:rsidR="00FF24B8" w:rsidRPr="00D61A7A" w:rsidRDefault="00FF24B8" w:rsidP="00411613">
            <w:pPr>
              <w:spacing w:after="0"/>
              <w:rPr>
                <w:rFonts w:cs="Arial"/>
                <w:color w:val="000000"/>
                <w:sz w:val="16"/>
                <w:szCs w:val="16"/>
                <w:lang w:val="en-US"/>
              </w:rPr>
            </w:pPr>
          </w:p>
        </w:tc>
        <w:tc>
          <w:tcPr>
            <w:tcW w:w="630" w:type="dxa"/>
            <w:shd w:val="clear" w:color="auto" w:fill="auto"/>
            <w:vAlign w:val="center"/>
            <w:hideMark/>
          </w:tcPr>
          <w:p w14:paraId="22229EE0" w14:textId="77777777" w:rsidR="00FF24B8" w:rsidRPr="00D61A7A" w:rsidRDefault="00FF24B8" w:rsidP="00411613">
            <w:pPr>
              <w:spacing w:after="0"/>
              <w:rPr>
                <w:rFonts w:cs="Arial"/>
                <w:color w:val="000000"/>
                <w:szCs w:val="22"/>
                <w:lang w:val="en-US"/>
              </w:rPr>
            </w:pPr>
            <w:r w:rsidRPr="00D61A7A">
              <w:rPr>
                <w:rFonts w:cs="Arial"/>
                <w:color w:val="000000"/>
                <w:szCs w:val="22"/>
              </w:rPr>
              <w:t> </w:t>
            </w:r>
          </w:p>
        </w:tc>
        <w:tc>
          <w:tcPr>
            <w:tcW w:w="630" w:type="dxa"/>
            <w:shd w:val="clear" w:color="auto" w:fill="auto"/>
            <w:vAlign w:val="center"/>
            <w:hideMark/>
          </w:tcPr>
          <w:p w14:paraId="2535B87D" w14:textId="77777777" w:rsidR="00FF24B8" w:rsidRPr="00D61A7A" w:rsidRDefault="00FF24B8" w:rsidP="00411613">
            <w:pPr>
              <w:spacing w:after="0"/>
              <w:rPr>
                <w:rFonts w:cs="Arial"/>
                <w:color w:val="000000"/>
                <w:szCs w:val="22"/>
                <w:lang w:val="en-US"/>
              </w:rPr>
            </w:pPr>
            <w:r w:rsidRPr="00D61A7A">
              <w:rPr>
                <w:rFonts w:cs="Arial"/>
                <w:color w:val="000000"/>
                <w:szCs w:val="22"/>
              </w:rPr>
              <w:t> </w:t>
            </w:r>
          </w:p>
        </w:tc>
        <w:tc>
          <w:tcPr>
            <w:tcW w:w="990" w:type="dxa"/>
            <w:shd w:val="clear" w:color="auto" w:fill="auto"/>
            <w:vAlign w:val="center"/>
            <w:hideMark/>
          </w:tcPr>
          <w:p w14:paraId="18F36755" w14:textId="77777777" w:rsidR="00FF24B8" w:rsidRPr="00D61A7A" w:rsidRDefault="00FF24B8" w:rsidP="00411613">
            <w:pPr>
              <w:spacing w:after="0"/>
              <w:rPr>
                <w:rFonts w:cs="Arial"/>
                <w:color w:val="000000"/>
                <w:sz w:val="16"/>
                <w:szCs w:val="16"/>
                <w:lang w:val="en-US"/>
              </w:rPr>
            </w:pPr>
            <w:r w:rsidRPr="00D61A7A">
              <w:rPr>
                <w:rFonts w:cs="Arial"/>
                <w:color w:val="000000"/>
                <w:sz w:val="16"/>
                <w:szCs w:val="16"/>
              </w:rPr>
              <w:t>UNDP</w:t>
            </w:r>
          </w:p>
        </w:tc>
        <w:tc>
          <w:tcPr>
            <w:tcW w:w="810" w:type="dxa"/>
            <w:shd w:val="clear" w:color="auto" w:fill="auto"/>
            <w:vAlign w:val="center"/>
            <w:hideMark/>
          </w:tcPr>
          <w:p w14:paraId="3387368E" w14:textId="6544C3C5" w:rsidR="00FF24B8" w:rsidRDefault="00FF24B8" w:rsidP="00411613">
            <w:pPr>
              <w:spacing w:after="0"/>
              <w:rPr>
                <w:rFonts w:cs="Arial"/>
                <w:color w:val="000000"/>
                <w:sz w:val="16"/>
                <w:szCs w:val="16"/>
              </w:rPr>
            </w:pPr>
            <w:r w:rsidRPr="00D61A7A">
              <w:rPr>
                <w:rFonts w:cs="Arial"/>
                <w:color w:val="000000"/>
                <w:sz w:val="16"/>
                <w:szCs w:val="16"/>
              </w:rPr>
              <w:t>Japan</w:t>
            </w:r>
          </w:p>
          <w:p w14:paraId="4CCFEC23" w14:textId="5157E208" w:rsidR="00FF24B8" w:rsidRPr="00411613" w:rsidRDefault="00FF24B8" w:rsidP="00411613">
            <w:pPr>
              <w:rPr>
                <w:rFonts w:cs="Arial"/>
                <w:sz w:val="16"/>
                <w:szCs w:val="16"/>
                <w:lang w:val="en-US"/>
              </w:rPr>
            </w:pPr>
          </w:p>
        </w:tc>
        <w:tc>
          <w:tcPr>
            <w:tcW w:w="2160" w:type="dxa"/>
            <w:shd w:val="clear" w:color="auto" w:fill="auto"/>
            <w:vAlign w:val="center"/>
            <w:hideMark/>
          </w:tcPr>
          <w:p w14:paraId="5FA2E6C3" w14:textId="65BA9C59" w:rsidR="00FF24B8" w:rsidRPr="00D61A7A" w:rsidRDefault="00FF24B8" w:rsidP="00411613">
            <w:pPr>
              <w:spacing w:after="0"/>
              <w:rPr>
                <w:rFonts w:cs="Arial"/>
                <w:color w:val="000000"/>
                <w:sz w:val="16"/>
                <w:szCs w:val="16"/>
                <w:lang w:val="en-US"/>
              </w:rPr>
            </w:pPr>
            <w:r>
              <w:rPr>
                <w:rFonts w:cs="Arial"/>
                <w:color w:val="000000"/>
                <w:sz w:val="16"/>
                <w:szCs w:val="16"/>
                <w:lang w:val="en-US"/>
              </w:rPr>
              <w:t>Community forum on CREW</w:t>
            </w:r>
          </w:p>
        </w:tc>
        <w:tc>
          <w:tcPr>
            <w:tcW w:w="1260" w:type="dxa"/>
            <w:shd w:val="clear" w:color="auto" w:fill="auto"/>
            <w:vAlign w:val="center"/>
          </w:tcPr>
          <w:p w14:paraId="077B9DD6" w14:textId="7EC66CC5" w:rsidR="00FF24B8" w:rsidRPr="00D61A7A" w:rsidRDefault="00FF24B8" w:rsidP="00411613">
            <w:pPr>
              <w:spacing w:after="0"/>
              <w:jc w:val="right"/>
              <w:rPr>
                <w:rFonts w:cs="Arial"/>
                <w:color w:val="000000"/>
                <w:sz w:val="16"/>
                <w:szCs w:val="16"/>
                <w:lang w:val="en-US"/>
              </w:rPr>
            </w:pPr>
            <w:r>
              <w:rPr>
                <w:rFonts w:cs="Arial"/>
                <w:color w:val="000000"/>
                <w:sz w:val="16"/>
                <w:szCs w:val="16"/>
                <w:lang w:val="en-US"/>
              </w:rPr>
              <w:t>$</w:t>
            </w:r>
            <w:r w:rsidR="001604EB">
              <w:rPr>
                <w:rFonts w:cs="Arial"/>
                <w:color w:val="000000"/>
                <w:sz w:val="16"/>
                <w:szCs w:val="16"/>
                <w:lang w:val="en-US"/>
              </w:rPr>
              <w:t>2</w:t>
            </w:r>
            <w:r>
              <w:rPr>
                <w:rFonts w:cs="Arial"/>
                <w:color w:val="000000"/>
                <w:sz w:val="16"/>
                <w:szCs w:val="16"/>
                <w:lang w:val="en-US"/>
              </w:rPr>
              <w:t>0,000.00</w:t>
            </w:r>
          </w:p>
        </w:tc>
      </w:tr>
      <w:tr w:rsidR="00DF73CE" w:rsidRPr="00D61A7A" w14:paraId="37C4BDFB" w14:textId="77777777" w:rsidTr="00F95136">
        <w:tc>
          <w:tcPr>
            <w:tcW w:w="1608" w:type="dxa"/>
            <w:vMerge/>
            <w:vAlign w:val="center"/>
            <w:hideMark/>
          </w:tcPr>
          <w:p w14:paraId="365AB20D" w14:textId="77777777" w:rsidR="00411613" w:rsidRPr="00D61A7A" w:rsidRDefault="00411613" w:rsidP="00411613">
            <w:pPr>
              <w:spacing w:after="0"/>
              <w:jc w:val="left"/>
              <w:rPr>
                <w:rFonts w:cs="Arial"/>
                <w:color w:val="000000"/>
                <w:sz w:val="16"/>
                <w:szCs w:val="16"/>
                <w:lang w:val="en-US"/>
              </w:rPr>
            </w:pPr>
          </w:p>
        </w:tc>
        <w:tc>
          <w:tcPr>
            <w:tcW w:w="1869" w:type="dxa"/>
            <w:vMerge w:val="restart"/>
            <w:shd w:val="clear" w:color="auto" w:fill="auto"/>
            <w:vAlign w:val="center"/>
            <w:hideMark/>
          </w:tcPr>
          <w:p w14:paraId="506D634E" w14:textId="0E805BE8" w:rsidR="00411613" w:rsidRPr="00D61A7A" w:rsidRDefault="00411613" w:rsidP="00411613">
            <w:pPr>
              <w:spacing w:after="0"/>
              <w:rPr>
                <w:rFonts w:cs="Arial"/>
                <w:color w:val="000000"/>
                <w:sz w:val="16"/>
                <w:szCs w:val="16"/>
                <w:lang w:val="en-US"/>
              </w:rPr>
            </w:pPr>
            <w:r w:rsidRPr="00D61A7A">
              <w:rPr>
                <w:rFonts w:cs="Arial"/>
                <w:iCs/>
                <w:color w:val="000000"/>
                <w:sz w:val="16"/>
              </w:rPr>
              <w:t xml:space="preserve">2.2 </w:t>
            </w:r>
            <w:r w:rsidRPr="00762221">
              <w:rPr>
                <w:rFonts w:cs="Arial"/>
                <w:iCs/>
                <w:color w:val="000000"/>
                <w:sz w:val="16"/>
              </w:rPr>
              <w:t>Activating the social role of municipalities by developing resilience and crisis readiness mechanisms for community participation</w:t>
            </w:r>
          </w:p>
        </w:tc>
        <w:tc>
          <w:tcPr>
            <w:tcW w:w="630" w:type="dxa"/>
            <w:vMerge w:val="restart"/>
            <w:shd w:val="clear" w:color="auto" w:fill="auto"/>
            <w:vAlign w:val="center"/>
            <w:hideMark/>
          </w:tcPr>
          <w:p w14:paraId="0F878539" w14:textId="77777777" w:rsidR="00411613" w:rsidRPr="00D61A7A" w:rsidRDefault="00411613" w:rsidP="00411613">
            <w:pPr>
              <w:spacing w:after="0"/>
              <w:rPr>
                <w:rFonts w:cs="Arial"/>
                <w:color w:val="000000"/>
                <w:szCs w:val="22"/>
                <w:lang w:val="en-US"/>
              </w:rPr>
            </w:pPr>
          </w:p>
        </w:tc>
        <w:tc>
          <w:tcPr>
            <w:tcW w:w="630" w:type="dxa"/>
            <w:vMerge w:val="restart"/>
            <w:shd w:val="clear" w:color="auto" w:fill="auto"/>
            <w:vAlign w:val="center"/>
            <w:hideMark/>
          </w:tcPr>
          <w:p w14:paraId="5D0EA609" w14:textId="77777777" w:rsidR="00411613" w:rsidRPr="00D61A7A" w:rsidRDefault="00411613" w:rsidP="00411613">
            <w:pPr>
              <w:spacing w:after="0"/>
              <w:rPr>
                <w:rFonts w:cs="Arial"/>
                <w:color w:val="000000"/>
                <w:szCs w:val="22"/>
                <w:lang w:val="en-US"/>
              </w:rPr>
            </w:pPr>
          </w:p>
        </w:tc>
        <w:tc>
          <w:tcPr>
            <w:tcW w:w="990" w:type="dxa"/>
            <w:vMerge w:val="restart"/>
            <w:shd w:val="clear" w:color="auto" w:fill="auto"/>
            <w:vAlign w:val="center"/>
            <w:hideMark/>
          </w:tcPr>
          <w:p w14:paraId="1604884E" w14:textId="77777777" w:rsidR="00411613" w:rsidRPr="00D61A7A" w:rsidRDefault="00411613" w:rsidP="00411613">
            <w:pPr>
              <w:spacing w:after="0"/>
              <w:rPr>
                <w:rFonts w:cs="Arial"/>
                <w:color w:val="000000"/>
                <w:sz w:val="16"/>
                <w:szCs w:val="16"/>
                <w:lang w:val="en-US"/>
              </w:rPr>
            </w:pPr>
            <w:r w:rsidRPr="00D61A7A">
              <w:rPr>
                <w:rFonts w:cs="Arial"/>
                <w:color w:val="000000"/>
                <w:sz w:val="16"/>
                <w:szCs w:val="16"/>
              </w:rPr>
              <w:t>UNDP</w:t>
            </w:r>
          </w:p>
        </w:tc>
        <w:tc>
          <w:tcPr>
            <w:tcW w:w="810" w:type="dxa"/>
            <w:vMerge w:val="restart"/>
            <w:shd w:val="clear" w:color="auto" w:fill="auto"/>
            <w:vAlign w:val="center"/>
            <w:hideMark/>
          </w:tcPr>
          <w:p w14:paraId="46EDD46E" w14:textId="77777777" w:rsidR="00411613" w:rsidRPr="00D61A7A" w:rsidRDefault="00411613" w:rsidP="00411613">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2CFB4D5D" w14:textId="77777777" w:rsidR="00411613" w:rsidRPr="00D61A7A" w:rsidRDefault="00411613" w:rsidP="00411613">
            <w:pPr>
              <w:spacing w:after="0"/>
              <w:rPr>
                <w:rFonts w:cs="Arial"/>
                <w:color w:val="000000"/>
                <w:sz w:val="16"/>
                <w:szCs w:val="16"/>
                <w:lang w:val="en-US"/>
              </w:rPr>
            </w:pPr>
            <w:r w:rsidRPr="00D61A7A">
              <w:rPr>
                <w:rFonts w:cs="Arial"/>
                <w:color w:val="000000"/>
                <w:sz w:val="16"/>
                <w:szCs w:val="16"/>
              </w:rPr>
              <w:t>Capacity Building and Training</w:t>
            </w:r>
          </w:p>
        </w:tc>
        <w:tc>
          <w:tcPr>
            <w:tcW w:w="1260" w:type="dxa"/>
            <w:shd w:val="clear" w:color="auto" w:fill="auto"/>
            <w:vAlign w:val="center"/>
            <w:hideMark/>
          </w:tcPr>
          <w:p w14:paraId="3FD3B49D" w14:textId="5F74668F" w:rsidR="00411613" w:rsidRPr="00D61A7A" w:rsidRDefault="00411613" w:rsidP="00411613">
            <w:pPr>
              <w:spacing w:after="0"/>
              <w:jc w:val="right"/>
              <w:rPr>
                <w:rFonts w:cs="Arial"/>
                <w:color w:val="000000"/>
                <w:sz w:val="16"/>
                <w:szCs w:val="16"/>
                <w:lang w:val="en-US"/>
              </w:rPr>
            </w:pPr>
            <w:r w:rsidRPr="00D61A7A">
              <w:rPr>
                <w:rFonts w:cs="Arial"/>
                <w:color w:val="000000"/>
                <w:sz w:val="16"/>
                <w:szCs w:val="16"/>
              </w:rPr>
              <w:t>$</w:t>
            </w:r>
            <w:r w:rsidR="001604EB">
              <w:rPr>
                <w:rFonts w:cs="Arial"/>
                <w:color w:val="000000"/>
                <w:sz w:val="16"/>
                <w:szCs w:val="16"/>
              </w:rPr>
              <w:t>18</w:t>
            </w:r>
            <w:r w:rsidRPr="00D61A7A">
              <w:rPr>
                <w:rFonts w:cs="Arial"/>
                <w:color w:val="000000"/>
                <w:sz w:val="16"/>
                <w:szCs w:val="16"/>
              </w:rPr>
              <w:t>,000.00</w:t>
            </w:r>
          </w:p>
        </w:tc>
      </w:tr>
      <w:tr w:rsidR="00DF73CE" w:rsidRPr="00D61A7A" w14:paraId="17862838" w14:textId="77777777" w:rsidTr="00F95136">
        <w:trPr>
          <w:trHeight w:val="1051"/>
        </w:trPr>
        <w:tc>
          <w:tcPr>
            <w:tcW w:w="1608" w:type="dxa"/>
            <w:vMerge/>
            <w:vAlign w:val="center"/>
            <w:hideMark/>
          </w:tcPr>
          <w:p w14:paraId="7F093CC0" w14:textId="77777777" w:rsidR="00411613" w:rsidRPr="00D61A7A" w:rsidRDefault="00411613" w:rsidP="00411613">
            <w:pPr>
              <w:spacing w:after="0"/>
              <w:jc w:val="left"/>
              <w:rPr>
                <w:rFonts w:cs="Arial"/>
                <w:color w:val="000000"/>
                <w:sz w:val="16"/>
                <w:szCs w:val="16"/>
                <w:lang w:val="en-US"/>
              </w:rPr>
            </w:pPr>
          </w:p>
        </w:tc>
        <w:tc>
          <w:tcPr>
            <w:tcW w:w="1869" w:type="dxa"/>
            <w:vMerge/>
            <w:vAlign w:val="center"/>
            <w:hideMark/>
          </w:tcPr>
          <w:p w14:paraId="206C9E3E" w14:textId="77777777" w:rsidR="00411613" w:rsidRPr="00D61A7A" w:rsidRDefault="00411613" w:rsidP="00411613">
            <w:pPr>
              <w:spacing w:after="0"/>
              <w:jc w:val="left"/>
              <w:rPr>
                <w:rFonts w:cs="Arial"/>
                <w:color w:val="000000"/>
                <w:sz w:val="16"/>
                <w:szCs w:val="16"/>
                <w:lang w:val="en-US"/>
              </w:rPr>
            </w:pPr>
          </w:p>
        </w:tc>
        <w:tc>
          <w:tcPr>
            <w:tcW w:w="630" w:type="dxa"/>
            <w:vMerge/>
            <w:vAlign w:val="center"/>
            <w:hideMark/>
          </w:tcPr>
          <w:p w14:paraId="01FF7A2F" w14:textId="77777777" w:rsidR="00411613" w:rsidRPr="00D61A7A" w:rsidRDefault="00411613" w:rsidP="00411613">
            <w:pPr>
              <w:spacing w:after="0"/>
              <w:jc w:val="left"/>
              <w:rPr>
                <w:rFonts w:cs="Arial"/>
                <w:color w:val="000000"/>
                <w:szCs w:val="22"/>
                <w:lang w:val="en-US"/>
              </w:rPr>
            </w:pPr>
          </w:p>
        </w:tc>
        <w:tc>
          <w:tcPr>
            <w:tcW w:w="630" w:type="dxa"/>
            <w:vMerge/>
            <w:vAlign w:val="center"/>
            <w:hideMark/>
          </w:tcPr>
          <w:p w14:paraId="40FEFF64" w14:textId="77777777" w:rsidR="00411613" w:rsidRPr="00D61A7A" w:rsidRDefault="00411613" w:rsidP="00411613">
            <w:pPr>
              <w:spacing w:after="0"/>
              <w:jc w:val="left"/>
              <w:rPr>
                <w:rFonts w:cs="Arial"/>
                <w:color w:val="000000"/>
                <w:szCs w:val="22"/>
                <w:lang w:val="en-US"/>
              </w:rPr>
            </w:pPr>
          </w:p>
        </w:tc>
        <w:tc>
          <w:tcPr>
            <w:tcW w:w="990" w:type="dxa"/>
            <w:vMerge/>
            <w:vAlign w:val="center"/>
            <w:hideMark/>
          </w:tcPr>
          <w:p w14:paraId="11988084" w14:textId="77777777" w:rsidR="00411613" w:rsidRPr="00D61A7A" w:rsidRDefault="00411613" w:rsidP="00411613">
            <w:pPr>
              <w:spacing w:after="0"/>
              <w:jc w:val="left"/>
              <w:rPr>
                <w:rFonts w:cs="Arial"/>
                <w:color w:val="000000"/>
                <w:sz w:val="16"/>
                <w:szCs w:val="16"/>
                <w:lang w:val="en-US"/>
              </w:rPr>
            </w:pPr>
          </w:p>
        </w:tc>
        <w:tc>
          <w:tcPr>
            <w:tcW w:w="810" w:type="dxa"/>
            <w:vMerge/>
            <w:vAlign w:val="center"/>
            <w:hideMark/>
          </w:tcPr>
          <w:p w14:paraId="228702A0" w14:textId="77777777" w:rsidR="00411613" w:rsidRPr="00D61A7A" w:rsidRDefault="00411613" w:rsidP="00411613">
            <w:pPr>
              <w:spacing w:after="0"/>
              <w:jc w:val="left"/>
              <w:rPr>
                <w:rFonts w:cs="Arial"/>
                <w:color w:val="000000"/>
                <w:sz w:val="16"/>
                <w:szCs w:val="16"/>
                <w:lang w:val="en-US"/>
              </w:rPr>
            </w:pPr>
          </w:p>
        </w:tc>
        <w:tc>
          <w:tcPr>
            <w:tcW w:w="2160" w:type="dxa"/>
            <w:shd w:val="clear" w:color="auto" w:fill="auto"/>
            <w:vAlign w:val="center"/>
            <w:hideMark/>
          </w:tcPr>
          <w:p w14:paraId="307C7038" w14:textId="445BDBB8" w:rsidR="00411613" w:rsidRPr="00D61A7A" w:rsidRDefault="00411613" w:rsidP="00411613">
            <w:pPr>
              <w:spacing w:after="0"/>
              <w:jc w:val="left"/>
              <w:rPr>
                <w:rFonts w:cs="Arial"/>
                <w:color w:val="000000"/>
                <w:sz w:val="16"/>
                <w:szCs w:val="16"/>
                <w:lang w:val="en-US"/>
              </w:rPr>
            </w:pPr>
            <w:r>
              <w:rPr>
                <w:rFonts w:cs="Arial"/>
                <w:color w:val="000000"/>
                <w:sz w:val="16"/>
                <w:szCs w:val="16"/>
              </w:rPr>
              <w:t xml:space="preserve">Community </w:t>
            </w:r>
            <w:r w:rsidR="00931DBD">
              <w:rPr>
                <w:rFonts w:cs="Arial"/>
                <w:color w:val="000000"/>
                <w:sz w:val="16"/>
                <w:szCs w:val="16"/>
              </w:rPr>
              <w:t xml:space="preserve">dialogue &amp; </w:t>
            </w:r>
            <w:r>
              <w:rPr>
                <w:rFonts w:cs="Arial"/>
                <w:color w:val="000000"/>
                <w:sz w:val="16"/>
                <w:szCs w:val="16"/>
              </w:rPr>
              <w:t>initiatives</w:t>
            </w:r>
          </w:p>
        </w:tc>
        <w:tc>
          <w:tcPr>
            <w:tcW w:w="1260" w:type="dxa"/>
            <w:shd w:val="clear" w:color="auto" w:fill="auto"/>
            <w:vAlign w:val="center"/>
            <w:hideMark/>
          </w:tcPr>
          <w:p w14:paraId="30E9E1BF" w14:textId="10137F7A" w:rsidR="00411613" w:rsidRPr="00D61A7A" w:rsidRDefault="00411613" w:rsidP="00411613">
            <w:pPr>
              <w:spacing w:after="0"/>
              <w:jc w:val="right"/>
              <w:rPr>
                <w:rFonts w:cs="Arial"/>
                <w:color w:val="000000"/>
                <w:sz w:val="16"/>
                <w:szCs w:val="16"/>
                <w:lang w:val="en-US"/>
              </w:rPr>
            </w:pPr>
            <w:r w:rsidRPr="00D61A7A">
              <w:rPr>
                <w:rFonts w:cs="Arial"/>
                <w:color w:val="000000"/>
                <w:sz w:val="16"/>
                <w:szCs w:val="16"/>
              </w:rPr>
              <w:t>$</w:t>
            </w:r>
            <w:r w:rsidR="001604EB">
              <w:rPr>
                <w:rFonts w:cs="Arial"/>
                <w:color w:val="000000"/>
                <w:sz w:val="16"/>
                <w:szCs w:val="16"/>
              </w:rPr>
              <w:t>60</w:t>
            </w:r>
            <w:r w:rsidRPr="00D61A7A">
              <w:rPr>
                <w:rFonts w:cs="Arial"/>
                <w:color w:val="000000"/>
                <w:sz w:val="16"/>
                <w:szCs w:val="16"/>
              </w:rPr>
              <w:t>,000.00</w:t>
            </w:r>
          </w:p>
        </w:tc>
      </w:tr>
      <w:tr w:rsidR="00230A72" w:rsidRPr="00D61A7A" w14:paraId="62DDABBC" w14:textId="77777777" w:rsidTr="00F95136">
        <w:tc>
          <w:tcPr>
            <w:tcW w:w="1608" w:type="dxa"/>
            <w:vMerge/>
            <w:vAlign w:val="center"/>
            <w:hideMark/>
          </w:tcPr>
          <w:p w14:paraId="2235CCCB" w14:textId="77777777" w:rsidR="00230A72" w:rsidRPr="00D61A7A" w:rsidRDefault="00230A72" w:rsidP="00230A72">
            <w:pPr>
              <w:spacing w:after="0"/>
              <w:jc w:val="left"/>
              <w:rPr>
                <w:rFonts w:cs="Arial"/>
                <w:color w:val="000000"/>
                <w:sz w:val="16"/>
                <w:szCs w:val="16"/>
                <w:lang w:val="en-US"/>
              </w:rPr>
            </w:pPr>
          </w:p>
        </w:tc>
        <w:tc>
          <w:tcPr>
            <w:tcW w:w="1869" w:type="dxa"/>
            <w:vMerge w:val="restart"/>
            <w:shd w:val="clear" w:color="auto" w:fill="auto"/>
            <w:vAlign w:val="center"/>
            <w:hideMark/>
          </w:tcPr>
          <w:p w14:paraId="04FE5A29" w14:textId="00AA9E6A" w:rsidR="00230A72" w:rsidRPr="00D61A7A" w:rsidRDefault="00230A72" w:rsidP="00230A72">
            <w:pPr>
              <w:spacing w:after="0"/>
              <w:rPr>
                <w:rFonts w:cs="Arial"/>
                <w:color w:val="000000"/>
                <w:sz w:val="16"/>
                <w:szCs w:val="16"/>
                <w:lang w:val="en-US"/>
              </w:rPr>
            </w:pPr>
            <w:r w:rsidRPr="00D61A7A">
              <w:rPr>
                <w:rFonts w:cs="Arial"/>
                <w:iCs/>
                <w:color w:val="000000"/>
                <w:sz w:val="16"/>
              </w:rPr>
              <w:t>2.3</w:t>
            </w:r>
            <w:r>
              <w:rPr>
                <w:rFonts w:cs="Arial"/>
                <w:iCs/>
                <w:color w:val="000000"/>
                <w:sz w:val="16"/>
              </w:rPr>
              <w:t>:</w:t>
            </w:r>
            <w:r w:rsidRPr="00D61A7A">
              <w:rPr>
                <w:rFonts w:cs="Arial"/>
                <w:iCs/>
                <w:color w:val="000000"/>
                <w:sz w:val="16"/>
              </w:rPr>
              <w:t xml:space="preserve"> </w:t>
            </w:r>
            <w:r w:rsidRPr="00762221">
              <w:rPr>
                <w:rFonts w:cs="Arial"/>
                <w:iCs/>
                <w:color w:val="000000"/>
                <w:sz w:val="16"/>
              </w:rPr>
              <w:t>Establishing COVID-19 community-based initiative repository that enhances recovery and mitigation at the local level.</w:t>
            </w:r>
          </w:p>
        </w:tc>
        <w:tc>
          <w:tcPr>
            <w:tcW w:w="630" w:type="dxa"/>
            <w:vMerge w:val="restart"/>
            <w:shd w:val="clear" w:color="auto" w:fill="auto"/>
            <w:vAlign w:val="center"/>
            <w:hideMark/>
          </w:tcPr>
          <w:p w14:paraId="2CD599FF" w14:textId="77777777" w:rsidR="00230A72" w:rsidRPr="00D61A7A" w:rsidRDefault="00230A72" w:rsidP="00230A72">
            <w:pPr>
              <w:spacing w:after="0"/>
              <w:rPr>
                <w:rFonts w:cs="Arial"/>
                <w:color w:val="000000"/>
                <w:szCs w:val="22"/>
                <w:lang w:val="en-US"/>
              </w:rPr>
            </w:pPr>
            <w:r w:rsidRPr="00D61A7A">
              <w:rPr>
                <w:rFonts w:cs="Arial"/>
                <w:color w:val="000000"/>
                <w:szCs w:val="22"/>
              </w:rPr>
              <w:t> </w:t>
            </w:r>
          </w:p>
        </w:tc>
        <w:tc>
          <w:tcPr>
            <w:tcW w:w="630" w:type="dxa"/>
            <w:vMerge w:val="restart"/>
            <w:shd w:val="clear" w:color="auto" w:fill="auto"/>
            <w:vAlign w:val="center"/>
            <w:hideMark/>
          </w:tcPr>
          <w:p w14:paraId="19818539" w14:textId="77777777" w:rsidR="00230A72" w:rsidRPr="00D61A7A" w:rsidRDefault="00230A72" w:rsidP="00230A72">
            <w:pPr>
              <w:spacing w:after="0"/>
              <w:rPr>
                <w:rFonts w:cs="Arial"/>
                <w:color w:val="000000"/>
                <w:szCs w:val="22"/>
                <w:lang w:val="en-US"/>
              </w:rPr>
            </w:pPr>
            <w:r w:rsidRPr="00D61A7A">
              <w:rPr>
                <w:rFonts w:cs="Arial"/>
                <w:color w:val="000000"/>
                <w:szCs w:val="22"/>
              </w:rPr>
              <w:t> </w:t>
            </w:r>
          </w:p>
        </w:tc>
        <w:tc>
          <w:tcPr>
            <w:tcW w:w="990" w:type="dxa"/>
            <w:vMerge w:val="restart"/>
            <w:shd w:val="clear" w:color="auto" w:fill="auto"/>
            <w:vAlign w:val="center"/>
            <w:hideMark/>
          </w:tcPr>
          <w:p w14:paraId="18E092AB"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 xml:space="preserve">UNDP </w:t>
            </w:r>
          </w:p>
        </w:tc>
        <w:tc>
          <w:tcPr>
            <w:tcW w:w="810" w:type="dxa"/>
            <w:vMerge w:val="restart"/>
            <w:shd w:val="clear" w:color="auto" w:fill="auto"/>
            <w:vAlign w:val="center"/>
            <w:hideMark/>
          </w:tcPr>
          <w:p w14:paraId="7A6779BB"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6EB5E7B1" w14:textId="556BB3EA" w:rsidR="00230A72" w:rsidRPr="00D61A7A" w:rsidRDefault="00230A72" w:rsidP="00230A72">
            <w:pPr>
              <w:spacing w:after="0"/>
              <w:rPr>
                <w:rFonts w:cs="Arial"/>
                <w:color w:val="000000"/>
                <w:sz w:val="16"/>
                <w:szCs w:val="16"/>
                <w:lang w:val="en-US"/>
              </w:rPr>
            </w:pPr>
            <w:r>
              <w:rPr>
                <w:rFonts w:cs="Arial"/>
                <w:color w:val="000000"/>
                <w:sz w:val="16"/>
                <w:szCs w:val="16"/>
              </w:rPr>
              <w:t>Capacity building &amp; training</w:t>
            </w:r>
            <w:r w:rsidR="00862D0D">
              <w:rPr>
                <w:rFonts w:cs="Arial"/>
                <w:color w:val="000000"/>
                <w:sz w:val="16"/>
                <w:szCs w:val="16"/>
              </w:rPr>
              <w:t xml:space="preserve"> for government officials</w:t>
            </w:r>
          </w:p>
        </w:tc>
        <w:tc>
          <w:tcPr>
            <w:tcW w:w="1260" w:type="dxa"/>
            <w:shd w:val="clear" w:color="auto" w:fill="auto"/>
            <w:vAlign w:val="center"/>
            <w:hideMark/>
          </w:tcPr>
          <w:p w14:paraId="538650FC" w14:textId="36005174"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Pr>
                <w:rFonts w:cs="Arial"/>
                <w:color w:val="000000"/>
                <w:sz w:val="16"/>
                <w:szCs w:val="16"/>
              </w:rPr>
              <w:t>24</w:t>
            </w:r>
            <w:r w:rsidRPr="00D61A7A">
              <w:rPr>
                <w:rFonts w:cs="Arial"/>
                <w:color w:val="000000"/>
                <w:sz w:val="16"/>
                <w:szCs w:val="16"/>
              </w:rPr>
              <w:t>,000.00</w:t>
            </w:r>
          </w:p>
        </w:tc>
      </w:tr>
      <w:tr w:rsidR="00230A72" w:rsidRPr="00D61A7A" w14:paraId="4A67369F" w14:textId="77777777" w:rsidTr="00F95136">
        <w:tc>
          <w:tcPr>
            <w:tcW w:w="1608" w:type="dxa"/>
            <w:vMerge/>
            <w:vAlign w:val="center"/>
            <w:hideMark/>
          </w:tcPr>
          <w:p w14:paraId="6D12437B"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70B3AD02" w14:textId="77777777" w:rsidR="00230A72" w:rsidRPr="00D61A7A" w:rsidRDefault="00230A72" w:rsidP="00230A72">
            <w:pPr>
              <w:spacing w:after="0"/>
              <w:jc w:val="left"/>
              <w:rPr>
                <w:rFonts w:cs="Arial"/>
                <w:color w:val="000000"/>
                <w:sz w:val="16"/>
                <w:szCs w:val="16"/>
                <w:lang w:val="en-US"/>
              </w:rPr>
            </w:pPr>
          </w:p>
        </w:tc>
        <w:tc>
          <w:tcPr>
            <w:tcW w:w="630" w:type="dxa"/>
            <w:vMerge/>
            <w:vAlign w:val="center"/>
            <w:hideMark/>
          </w:tcPr>
          <w:p w14:paraId="38011226" w14:textId="77777777" w:rsidR="00230A72" w:rsidRPr="00D61A7A" w:rsidRDefault="00230A72" w:rsidP="00230A72">
            <w:pPr>
              <w:spacing w:after="0"/>
              <w:jc w:val="left"/>
              <w:rPr>
                <w:rFonts w:cs="Arial"/>
                <w:color w:val="000000"/>
                <w:szCs w:val="22"/>
                <w:lang w:val="en-US"/>
              </w:rPr>
            </w:pPr>
          </w:p>
        </w:tc>
        <w:tc>
          <w:tcPr>
            <w:tcW w:w="630" w:type="dxa"/>
            <w:vMerge/>
            <w:vAlign w:val="center"/>
            <w:hideMark/>
          </w:tcPr>
          <w:p w14:paraId="1C220F5A" w14:textId="77777777" w:rsidR="00230A72" w:rsidRPr="00D61A7A" w:rsidRDefault="00230A72" w:rsidP="00230A72">
            <w:pPr>
              <w:spacing w:after="0"/>
              <w:jc w:val="left"/>
              <w:rPr>
                <w:rFonts w:cs="Arial"/>
                <w:color w:val="000000"/>
                <w:szCs w:val="22"/>
                <w:lang w:val="en-US"/>
              </w:rPr>
            </w:pPr>
          </w:p>
        </w:tc>
        <w:tc>
          <w:tcPr>
            <w:tcW w:w="990" w:type="dxa"/>
            <w:vMerge/>
            <w:vAlign w:val="center"/>
            <w:hideMark/>
          </w:tcPr>
          <w:p w14:paraId="61B3B77A" w14:textId="77777777" w:rsidR="00230A72" w:rsidRPr="00D61A7A" w:rsidRDefault="00230A72" w:rsidP="00230A72">
            <w:pPr>
              <w:spacing w:after="0"/>
              <w:jc w:val="left"/>
              <w:rPr>
                <w:rFonts w:cs="Arial"/>
                <w:color w:val="000000"/>
                <w:sz w:val="16"/>
                <w:szCs w:val="16"/>
                <w:lang w:val="en-US"/>
              </w:rPr>
            </w:pPr>
          </w:p>
        </w:tc>
        <w:tc>
          <w:tcPr>
            <w:tcW w:w="810" w:type="dxa"/>
            <w:vMerge/>
            <w:vAlign w:val="center"/>
            <w:hideMark/>
          </w:tcPr>
          <w:p w14:paraId="46929D9C" w14:textId="77777777" w:rsidR="00230A72" w:rsidRPr="00D61A7A" w:rsidRDefault="00230A72" w:rsidP="00230A72">
            <w:pPr>
              <w:spacing w:after="0"/>
              <w:jc w:val="left"/>
              <w:rPr>
                <w:rFonts w:cs="Arial"/>
                <w:color w:val="000000"/>
                <w:sz w:val="16"/>
                <w:szCs w:val="16"/>
                <w:lang w:val="en-US"/>
              </w:rPr>
            </w:pPr>
          </w:p>
        </w:tc>
        <w:tc>
          <w:tcPr>
            <w:tcW w:w="2160" w:type="dxa"/>
            <w:shd w:val="clear" w:color="auto" w:fill="auto"/>
            <w:vAlign w:val="center"/>
            <w:hideMark/>
          </w:tcPr>
          <w:p w14:paraId="01B53ECB" w14:textId="356465BF" w:rsidR="00230A72" w:rsidRPr="00D61A7A" w:rsidRDefault="00862D0D" w:rsidP="00230A72">
            <w:pPr>
              <w:spacing w:after="0"/>
              <w:rPr>
                <w:rFonts w:cs="Arial"/>
                <w:color w:val="000000"/>
                <w:sz w:val="16"/>
                <w:szCs w:val="16"/>
                <w:lang w:val="en-US"/>
              </w:rPr>
            </w:pPr>
            <w:r>
              <w:rPr>
                <w:rFonts w:cs="Arial"/>
                <w:color w:val="000000"/>
                <w:sz w:val="16"/>
                <w:szCs w:val="16"/>
              </w:rPr>
              <w:t>Market assessment on geographic locations and urban revitalization</w:t>
            </w:r>
          </w:p>
        </w:tc>
        <w:tc>
          <w:tcPr>
            <w:tcW w:w="1260" w:type="dxa"/>
            <w:shd w:val="clear" w:color="auto" w:fill="auto"/>
            <w:vAlign w:val="center"/>
            <w:hideMark/>
          </w:tcPr>
          <w:p w14:paraId="2136B269" w14:textId="5B9EAF46"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sidR="00862D0D">
              <w:rPr>
                <w:rFonts w:cs="Arial"/>
                <w:color w:val="000000"/>
                <w:sz w:val="16"/>
                <w:szCs w:val="16"/>
              </w:rPr>
              <w:t>25</w:t>
            </w:r>
            <w:r w:rsidRPr="00D61A7A">
              <w:rPr>
                <w:rFonts w:cs="Arial"/>
                <w:color w:val="000000"/>
                <w:sz w:val="16"/>
                <w:szCs w:val="16"/>
              </w:rPr>
              <w:t>,000.00</w:t>
            </w:r>
          </w:p>
        </w:tc>
      </w:tr>
      <w:tr w:rsidR="00230A72" w:rsidRPr="00D61A7A" w14:paraId="5983AF62" w14:textId="77777777" w:rsidTr="00F95136">
        <w:tc>
          <w:tcPr>
            <w:tcW w:w="1608" w:type="dxa"/>
            <w:vMerge/>
            <w:vAlign w:val="center"/>
            <w:hideMark/>
          </w:tcPr>
          <w:p w14:paraId="74A73F62"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4F3799B2" w14:textId="77777777" w:rsidR="00230A72" w:rsidRPr="00D61A7A" w:rsidRDefault="00230A72" w:rsidP="00230A72">
            <w:pPr>
              <w:spacing w:after="0"/>
              <w:jc w:val="left"/>
              <w:rPr>
                <w:rFonts w:cs="Arial"/>
                <w:color w:val="000000"/>
                <w:sz w:val="16"/>
                <w:szCs w:val="16"/>
                <w:lang w:val="en-US"/>
              </w:rPr>
            </w:pPr>
          </w:p>
        </w:tc>
        <w:tc>
          <w:tcPr>
            <w:tcW w:w="630" w:type="dxa"/>
            <w:vMerge/>
            <w:vAlign w:val="center"/>
            <w:hideMark/>
          </w:tcPr>
          <w:p w14:paraId="23102EB0" w14:textId="77777777" w:rsidR="00230A72" w:rsidRPr="00D61A7A" w:rsidRDefault="00230A72" w:rsidP="00230A72">
            <w:pPr>
              <w:spacing w:after="0"/>
              <w:jc w:val="left"/>
              <w:rPr>
                <w:rFonts w:cs="Arial"/>
                <w:color w:val="000000"/>
                <w:szCs w:val="22"/>
                <w:lang w:val="en-US"/>
              </w:rPr>
            </w:pPr>
          </w:p>
        </w:tc>
        <w:tc>
          <w:tcPr>
            <w:tcW w:w="630" w:type="dxa"/>
            <w:vMerge/>
            <w:vAlign w:val="center"/>
            <w:hideMark/>
          </w:tcPr>
          <w:p w14:paraId="3EDBD46E" w14:textId="77777777" w:rsidR="00230A72" w:rsidRPr="00D61A7A" w:rsidRDefault="00230A72" w:rsidP="00230A72">
            <w:pPr>
              <w:spacing w:after="0"/>
              <w:jc w:val="left"/>
              <w:rPr>
                <w:rFonts w:cs="Arial"/>
                <w:color w:val="000000"/>
                <w:szCs w:val="22"/>
                <w:lang w:val="en-US"/>
              </w:rPr>
            </w:pPr>
          </w:p>
        </w:tc>
        <w:tc>
          <w:tcPr>
            <w:tcW w:w="990" w:type="dxa"/>
            <w:vMerge/>
            <w:vAlign w:val="center"/>
            <w:hideMark/>
          </w:tcPr>
          <w:p w14:paraId="1271462C" w14:textId="77777777" w:rsidR="00230A72" w:rsidRPr="00D61A7A" w:rsidRDefault="00230A72" w:rsidP="00230A72">
            <w:pPr>
              <w:spacing w:after="0"/>
              <w:jc w:val="left"/>
              <w:rPr>
                <w:rFonts w:cs="Arial"/>
                <w:color w:val="000000"/>
                <w:sz w:val="16"/>
                <w:szCs w:val="16"/>
                <w:lang w:val="en-US"/>
              </w:rPr>
            </w:pPr>
          </w:p>
        </w:tc>
        <w:tc>
          <w:tcPr>
            <w:tcW w:w="810" w:type="dxa"/>
            <w:vMerge/>
            <w:vAlign w:val="center"/>
            <w:hideMark/>
          </w:tcPr>
          <w:p w14:paraId="1E9DC108" w14:textId="77777777" w:rsidR="00230A72" w:rsidRPr="00D61A7A" w:rsidRDefault="00230A72" w:rsidP="00230A72">
            <w:pPr>
              <w:spacing w:after="0"/>
              <w:jc w:val="left"/>
              <w:rPr>
                <w:rFonts w:cs="Arial"/>
                <w:color w:val="000000"/>
                <w:sz w:val="16"/>
                <w:szCs w:val="16"/>
                <w:lang w:val="en-US"/>
              </w:rPr>
            </w:pPr>
          </w:p>
        </w:tc>
        <w:tc>
          <w:tcPr>
            <w:tcW w:w="2160" w:type="dxa"/>
            <w:shd w:val="clear" w:color="auto" w:fill="auto"/>
            <w:vAlign w:val="center"/>
            <w:hideMark/>
          </w:tcPr>
          <w:p w14:paraId="2503087B" w14:textId="1EB4BCCE" w:rsidR="00230A72" w:rsidRPr="00D61A7A" w:rsidRDefault="00862D0D" w:rsidP="00230A72">
            <w:pPr>
              <w:spacing w:after="0"/>
              <w:rPr>
                <w:rFonts w:cs="Arial"/>
                <w:color w:val="000000"/>
                <w:sz w:val="16"/>
                <w:szCs w:val="16"/>
                <w:lang w:val="en-US"/>
              </w:rPr>
            </w:pPr>
            <w:r>
              <w:rPr>
                <w:rFonts w:cs="Arial"/>
                <w:color w:val="000000"/>
                <w:sz w:val="16"/>
                <w:szCs w:val="16"/>
              </w:rPr>
              <w:t>Community initiatives</w:t>
            </w:r>
          </w:p>
        </w:tc>
        <w:tc>
          <w:tcPr>
            <w:tcW w:w="1260" w:type="dxa"/>
            <w:shd w:val="clear" w:color="auto" w:fill="auto"/>
            <w:vAlign w:val="center"/>
            <w:hideMark/>
          </w:tcPr>
          <w:p w14:paraId="00690F7C" w14:textId="60CDA107"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sidR="00862D0D">
              <w:rPr>
                <w:rFonts w:cs="Arial"/>
                <w:color w:val="000000"/>
                <w:sz w:val="16"/>
                <w:szCs w:val="16"/>
              </w:rPr>
              <w:t>150</w:t>
            </w:r>
            <w:r w:rsidRPr="00D61A7A">
              <w:rPr>
                <w:rFonts w:cs="Arial"/>
                <w:color w:val="000000"/>
                <w:sz w:val="16"/>
                <w:szCs w:val="16"/>
              </w:rPr>
              <w:t>,000.00</w:t>
            </w:r>
          </w:p>
        </w:tc>
      </w:tr>
      <w:tr w:rsidR="00862D0D" w:rsidRPr="00D61A7A" w14:paraId="36B8FB85" w14:textId="77777777" w:rsidTr="00F95136">
        <w:tc>
          <w:tcPr>
            <w:tcW w:w="1608" w:type="dxa"/>
            <w:vMerge/>
            <w:vAlign w:val="center"/>
          </w:tcPr>
          <w:p w14:paraId="2D597CB7" w14:textId="77777777" w:rsidR="00862D0D" w:rsidRPr="00D61A7A" w:rsidRDefault="00862D0D" w:rsidP="00230A72">
            <w:pPr>
              <w:spacing w:after="0"/>
              <w:jc w:val="left"/>
              <w:rPr>
                <w:rFonts w:cs="Arial"/>
                <w:color w:val="000000"/>
                <w:sz w:val="16"/>
                <w:szCs w:val="16"/>
                <w:lang w:val="en-US"/>
              </w:rPr>
            </w:pPr>
          </w:p>
        </w:tc>
        <w:tc>
          <w:tcPr>
            <w:tcW w:w="1869" w:type="dxa"/>
            <w:vMerge/>
            <w:vAlign w:val="center"/>
          </w:tcPr>
          <w:p w14:paraId="5D1255D7" w14:textId="77777777" w:rsidR="00862D0D" w:rsidRPr="00D61A7A" w:rsidRDefault="00862D0D" w:rsidP="00230A72">
            <w:pPr>
              <w:spacing w:after="0"/>
              <w:jc w:val="left"/>
              <w:rPr>
                <w:rFonts w:cs="Arial"/>
                <w:color w:val="000000"/>
                <w:sz w:val="16"/>
                <w:szCs w:val="16"/>
                <w:lang w:val="en-US"/>
              </w:rPr>
            </w:pPr>
          </w:p>
        </w:tc>
        <w:tc>
          <w:tcPr>
            <w:tcW w:w="630" w:type="dxa"/>
            <w:vMerge/>
            <w:vAlign w:val="center"/>
          </w:tcPr>
          <w:p w14:paraId="2373FF62" w14:textId="77777777" w:rsidR="00862D0D" w:rsidRPr="00D61A7A" w:rsidRDefault="00862D0D" w:rsidP="00230A72">
            <w:pPr>
              <w:spacing w:after="0"/>
              <w:jc w:val="left"/>
              <w:rPr>
                <w:rFonts w:cs="Arial"/>
                <w:color w:val="000000"/>
                <w:szCs w:val="22"/>
                <w:lang w:val="en-US"/>
              </w:rPr>
            </w:pPr>
          </w:p>
        </w:tc>
        <w:tc>
          <w:tcPr>
            <w:tcW w:w="630" w:type="dxa"/>
            <w:vMerge/>
            <w:vAlign w:val="center"/>
          </w:tcPr>
          <w:p w14:paraId="34192A1E" w14:textId="77777777" w:rsidR="00862D0D" w:rsidRPr="00D61A7A" w:rsidRDefault="00862D0D" w:rsidP="00230A72">
            <w:pPr>
              <w:spacing w:after="0"/>
              <w:jc w:val="left"/>
              <w:rPr>
                <w:rFonts w:cs="Arial"/>
                <w:color w:val="000000"/>
                <w:szCs w:val="22"/>
                <w:lang w:val="en-US"/>
              </w:rPr>
            </w:pPr>
          </w:p>
        </w:tc>
        <w:tc>
          <w:tcPr>
            <w:tcW w:w="990" w:type="dxa"/>
            <w:vMerge/>
            <w:vAlign w:val="center"/>
          </w:tcPr>
          <w:p w14:paraId="4471A0BB" w14:textId="77777777" w:rsidR="00862D0D" w:rsidRPr="00D61A7A" w:rsidRDefault="00862D0D" w:rsidP="00230A72">
            <w:pPr>
              <w:spacing w:after="0"/>
              <w:jc w:val="left"/>
              <w:rPr>
                <w:rFonts w:cs="Arial"/>
                <w:color w:val="000000"/>
                <w:sz w:val="16"/>
                <w:szCs w:val="16"/>
                <w:lang w:val="en-US"/>
              </w:rPr>
            </w:pPr>
          </w:p>
        </w:tc>
        <w:tc>
          <w:tcPr>
            <w:tcW w:w="810" w:type="dxa"/>
            <w:vMerge/>
            <w:vAlign w:val="center"/>
          </w:tcPr>
          <w:p w14:paraId="56300BFC" w14:textId="77777777" w:rsidR="00862D0D" w:rsidRPr="00D61A7A" w:rsidRDefault="00862D0D" w:rsidP="00230A72">
            <w:pPr>
              <w:spacing w:after="0"/>
              <w:jc w:val="left"/>
              <w:rPr>
                <w:rFonts w:cs="Arial"/>
                <w:color w:val="000000"/>
                <w:sz w:val="16"/>
                <w:szCs w:val="16"/>
                <w:lang w:val="en-US"/>
              </w:rPr>
            </w:pPr>
          </w:p>
        </w:tc>
        <w:tc>
          <w:tcPr>
            <w:tcW w:w="2160" w:type="dxa"/>
            <w:shd w:val="clear" w:color="auto" w:fill="auto"/>
            <w:vAlign w:val="center"/>
          </w:tcPr>
          <w:p w14:paraId="0C48AB86" w14:textId="04F1105A" w:rsidR="00862D0D" w:rsidRDefault="00862D0D" w:rsidP="00230A72">
            <w:pPr>
              <w:spacing w:after="0"/>
              <w:rPr>
                <w:rFonts w:cs="Arial"/>
                <w:color w:val="000000"/>
                <w:sz w:val="16"/>
                <w:szCs w:val="16"/>
              </w:rPr>
            </w:pPr>
            <w:r>
              <w:rPr>
                <w:rFonts w:cs="Arial"/>
                <w:color w:val="000000"/>
                <w:sz w:val="16"/>
                <w:szCs w:val="16"/>
              </w:rPr>
              <w:t xml:space="preserve">Capacity building &amp; training for participants </w:t>
            </w:r>
          </w:p>
        </w:tc>
        <w:tc>
          <w:tcPr>
            <w:tcW w:w="1260" w:type="dxa"/>
            <w:shd w:val="clear" w:color="auto" w:fill="auto"/>
            <w:vAlign w:val="center"/>
          </w:tcPr>
          <w:p w14:paraId="5AE8F983" w14:textId="5CF6CC4A" w:rsidR="00862D0D" w:rsidRPr="00D61A7A" w:rsidRDefault="00862D0D" w:rsidP="00230A72">
            <w:pPr>
              <w:spacing w:after="0"/>
              <w:jc w:val="right"/>
              <w:rPr>
                <w:rFonts w:cs="Arial"/>
                <w:color w:val="000000"/>
                <w:sz w:val="16"/>
                <w:szCs w:val="16"/>
              </w:rPr>
            </w:pPr>
            <w:r>
              <w:rPr>
                <w:rFonts w:cs="Arial"/>
                <w:color w:val="000000"/>
                <w:sz w:val="16"/>
                <w:szCs w:val="16"/>
              </w:rPr>
              <w:t>$154,500.00</w:t>
            </w:r>
          </w:p>
        </w:tc>
      </w:tr>
      <w:tr w:rsidR="00230A72" w:rsidRPr="00D61A7A" w14:paraId="7261CE04" w14:textId="77777777" w:rsidTr="00F95136">
        <w:tc>
          <w:tcPr>
            <w:tcW w:w="1608" w:type="dxa"/>
            <w:vMerge/>
            <w:vAlign w:val="center"/>
            <w:hideMark/>
          </w:tcPr>
          <w:p w14:paraId="2568AF0A"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3C0FC8CE" w14:textId="77777777" w:rsidR="00230A72" w:rsidRPr="00D61A7A" w:rsidRDefault="00230A72" w:rsidP="00230A72">
            <w:pPr>
              <w:spacing w:after="0"/>
              <w:jc w:val="left"/>
              <w:rPr>
                <w:rFonts w:cs="Arial"/>
                <w:color w:val="000000"/>
                <w:sz w:val="16"/>
                <w:szCs w:val="16"/>
                <w:lang w:val="en-US"/>
              </w:rPr>
            </w:pPr>
          </w:p>
        </w:tc>
        <w:tc>
          <w:tcPr>
            <w:tcW w:w="630" w:type="dxa"/>
            <w:vMerge/>
            <w:vAlign w:val="center"/>
            <w:hideMark/>
          </w:tcPr>
          <w:p w14:paraId="44976D30" w14:textId="77777777" w:rsidR="00230A72" w:rsidRPr="00D61A7A" w:rsidRDefault="00230A72" w:rsidP="00230A72">
            <w:pPr>
              <w:spacing w:after="0"/>
              <w:jc w:val="left"/>
              <w:rPr>
                <w:rFonts w:cs="Arial"/>
                <w:color w:val="000000"/>
                <w:szCs w:val="22"/>
                <w:lang w:val="en-US"/>
              </w:rPr>
            </w:pPr>
          </w:p>
        </w:tc>
        <w:tc>
          <w:tcPr>
            <w:tcW w:w="630" w:type="dxa"/>
            <w:vMerge/>
            <w:vAlign w:val="center"/>
            <w:hideMark/>
          </w:tcPr>
          <w:p w14:paraId="0044A8ED" w14:textId="77777777" w:rsidR="00230A72" w:rsidRPr="00D61A7A" w:rsidRDefault="00230A72" w:rsidP="00230A72">
            <w:pPr>
              <w:spacing w:after="0"/>
              <w:jc w:val="left"/>
              <w:rPr>
                <w:rFonts w:cs="Arial"/>
                <w:color w:val="000000"/>
                <w:szCs w:val="22"/>
                <w:lang w:val="en-US"/>
              </w:rPr>
            </w:pPr>
          </w:p>
        </w:tc>
        <w:tc>
          <w:tcPr>
            <w:tcW w:w="990" w:type="dxa"/>
            <w:vMerge/>
            <w:vAlign w:val="center"/>
            <w:hideMark/>
          </w:tcPr>
          <w:p w14:paraId="65114172" w14:textId="77777777" w:rsidR="00230A72" w:rsidRPr="00D61A7A" w:rsidRDefault="00230A72" w:rsidP="00230A72">
            <w:pPr>
              <w:spacing w:after="0"/>
              <w:jc w:val="left"/>
              <w:rPr>
                <w:rFonts w:cs="Arial"/>
                <w:color w:val="000000"/>
                <w:sz w:val="16"/>
                <w:szCs w:val="16"/>
                <w:lang w:val="en-US"/>
              </w:rPr>
            </w:pPr>
          </w:p>
        </w:tc>
        <w:tc>
          <w:tcPr>
            <w:tcW w:w="810" w:type="dxa"/>
            <w:vMerge/>
            <w:vAlign w:val="center"/>
            <w:hideMark/>
          </w:tcPr>
          <w:p w14:paraId="620898D7" w14:textId="77777777" w:rsidR="00230A72" w:rsidRPr="00D61A7A" w:rsidRDefault="00230A72" w:rsidP="00230A72">
            <w:pPr>
              <w:spacing w:after="0"/>
              <w:jc w:val="left"/>
              <w:rPr>
                <w:rFonts w:cs="Arial"/>
                <w:color w:val="000000"/>
                <w:sz w:val="16"/>
                <w:szCs w:val="16"/>
                <w:lang w:val="en-US"/>
              </w:rPr>
            </w:pPr>
          </w:p>
        </w:tc>
        <w:tc>
          <w:tcPr>
            <w:tcW w:w="2160" w:type="dxa"/>
            <w:shd w:val="clear" w:color="auto" w:fill="auto"/>
            <w:vAlign w:val="center"/>
            <w:hideMark/>
          </w:tcPr>
          <w:p w14:paraId="7EDC63F1" w14:textId="32EDB8A0" w:rsidR="00230A72" w:rsidRPr="00D61A7A" w:rsidRDefault="00862D0D" w:rsidP="00230A72">
            <w:pPr>
              <w:spacing w:after="0"/>
              <w:rPr>
                <w:rFonts w:cs="Arial"/>
                <w:color w:val="000000"/>
                <w:sz w:val="16"/>
                <w:szCs w:val="16"/>
                <w:lang w:val="en-US"/>
              </w:rPr>
            </w:pPr>
            <w:r>
              <w:rPr>
                <w:rFonts w:cs="Arial"/>
                <w:color w:val="000000"/>
                <w:sz w:val="16"/>
                <w:szCs w:val="16"/>
              </w:rPr>
              <w:t>Implementation of c</w:t>
            </w:r>
            <w:r w:rsidR="00230A72">
              <w:rPr>
                <w:rFonts w:cs="Arial"/>
                <w:color w:val="000000"/>
                <w:sz w:val="16"/>
                <w:szCs w:val="16"/>
              </w:rPr>
              <w:t>ommunity initiatives</w:t>
            </w:r>
            <w:r>
              <w:rPr>
                <w:rFonts w:cs="Arial"/>
                <w:color w:val="000000"/>
                <w:sz w:val="16"/>
                <w:szCs w:val="16"/>
              </w:rPr>
              <w:t xml:space="preserve"> (RFP)</w:t>
            </w:r>
          </w:p>
        </w:tc>
        <w:tc>
          <w:tcPr>
            <w:tcW w:w="1260" w:type="dxa"/>
            <w:shd w:val="clear" w:color="auto" w:fill="auto"/>
            <w:vAlign w:val="center"/>
            <w:hideMark/>
          </w:tcPr>
          <w:p w14:paraId="67F30DB5" w14:textId="2C42F2F5"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sidR="00862D0D">
              <w:rPr>
                <w:rFonts w:cs="Arial"/>
                <w:color w:val="000000"/>
                <w:sz w:val="16"/>
                <w:szCs w:val="16"/>
              </w:rPr>
              <w:t>40</w:t>
            </w:r>
            <w:r w:rsidRPr="00D61A7A">
              <w:rPr>
                <w:rFonts w:cs="Arial"/>
                <w:color w:val="000000"/>
                <w:sz w:val="16"/>
                <w:szCs w:val="16"/>
              </w:rPr>
              <w:t>,000.00</w:t>
            </w:r>
          </w:p>
        </w:tc>
      </w:tr>
      <w:tr w:rsidR="00230A72" w:rsidRPr="00D61A7A" w14:paraId="4D7A6BFD" w14:textId="77777777" w:rsidTr="00F95136">
        <w:tc>
          <w:tcPr>
            <w:tcW w:w="1608" w:type="dxa"/>
            <w:vMerge/>
            <w:vAlign w:val="center"/>
            <w:hideMark/>
          </w:tcPr>
          <w:p w14:paraId="2D29538F" w14:textId="77777777" w:rsidR="00230A72" w:rsidRPr="00D61A7A" w:rsidRDefault="00230A72" w:rsidP="00230A72">
            <w:pPr>
              <w:spacing w:after="0"/>
              <w:jc w:val="left"/>
              <w:rPr>
                <w:rFonts w:cs="Arial"/>
                <w:color w:val="000000"/>
                <w:sz w:val="16"/>
                <w:szCs w:val="16"/>
                <w:lang w:val="en-US"/>
              </w:rPr>
            </w:pPr>
          </w:p>
        </w:tc>
        <w:tc>
          <w:tcPr>
            <w:tcW w:w="1869" w:type="dxa"/>
            <w:vMerge w:val="restart"/>
            <w:shd w:val="clear" w:color="auto" w:fill="auto"/>
            <w:vAlign w:val="center"/>
            <w:hideMark/>
          </w:tcPr>
          <w:p w14:paraId="2321303A" w14:textId="0A130DBD" w:rsidR="00230A72" w:rsidRPr="00D61A7A" w:rsidRDefault="00230A72" w:rsidP="00230A72">
            <w:pPr>
              <w:spacing w:after="0"/>
              <w:rPr>
                <w:rFonts w:cs="Arial"/>
                <w:color w:val="000000"/>
                <w:sz w:val="16"/>
                <w:szCs w:val="16"/>
                <w:lang w:val="en-US"/>
              </w:rPr>
            </w:pPr>
            <w:r w:rsidRPr="00D61A7A">
              <w:rPr>
                <w:rFonts w:cs="Arial"/>
                <w:iCs/>
                <w:color w:val="000000"/>
                <w:sz w:val="16"/>
              </w:rPr>
              <w:t xml:space="preserve">2.4 </w:t>
            </w:r>
            <w:r w:rsidRPr="00762221">
              <w:rPr>
                <w:rFonts w:cs="Arial"/>
                <w:iCs/>
                <w:color w:val="000000"/>
                <w:sz w:val="16"/>
              </w:rPr>
              <w:t>Strengthening the role of local security council to lead a conflict resolution mechanism to further build trust among the communities and between communities and law enforcement</w:t>
            </w:r>
          </w:p>
        </w:tc>
        <w:tc>
          <w:tcPr>
            <w:tcW w:w="630" w:type="dxa"/>
            <w:vMerge w:val="restart"/>
            <w:shd w:val="clear" w:color="auto" w:fill="auto"/>
            <w:vAlign w:val="center"/>
            <w:hideMark/>
          </w:tcPr>
          <w:p w14:paraId="4B43F643"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094B5657"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2A3BED99"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5816BD94"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7B73BD0A"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22282684"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795A4F6C" w14:textId="77777777" w:rsidR="00230A72" w:rsidRPr="00D61A7A" w:rsidRDefault="00230A72" w:rsidP="00230A72">
            <w:pPr>
              <w:spacing w:after="0"/>
              <w:rPr>
                <w:rFonts w:cs="Arial"/>
                <w:color w:val="000000"/>
                <w:szCs w:val="22"/>
                <w:lang w:val="en-US"/>
              </w:rPr>
            </w:pPr>
            <w:r w:rsidRPr="00D61A7A">
              <w:rPr>
                <w:rFonts w:cs="Arial"/>
                <w:color w:val="000000"/>
                <w:szCs w:val="22"/>
              </w:rPr>
              <w:t> </w:t>
            </w:r>
          </w:p>
        </w:tc>
        <w:tc>
          <w:tcPr>
            <w:tcW w:w="630" w:type="dxa"/>
            <w:vMerge w:val="restart"/>
            <w:shd w:val="clear" w:color="auto" w:fill="auto"/>
            <w:vAlign w:val="center"/>
            <w:hideMark/>
          </w:tcPr>
          <w:p w14:paraId="18A5C84A"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2B0181A5"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73D76AB5"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2A25A4CE"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013040D7"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33342EF4" w14:textId="77777777" w:rsidR="00230A72" w:rsidRPr="00D61A7A" w:rsidRDefault="00230A72" w:rsidP="00230A72">
            <w:pPr>
              <w:spacing w:after="0"/>
              <w:rPr>
                <w:rFonts w:cs="Arial"/>
                <w:color w:val="000000"/>
                <w:szCs w:val="22"/>
                <w:lang w:val="en-US"/>
              </w:rPr>
            </w:pPr>
            <w:r w:rsidRPr="00D61A7A">
              <w:rPr>
                <w:rFonts w:cs="Arial"/>
                <w:color w:val="000000"/>
                <w:szCs w:val="22"/>
              </w:rPr>
              <w:t> </w:t>
            </w:r>
          </w:p>
          <w:p w14:paraId="73FA1EFB" w14:textId="77777777" w:rsidR="00230A72" w:rsidRPr="00D61A7A" w:rsidRDefault="00230A72" w:rsidP="00230A72">
            <w:pPr>
              <w:spacing w:after="0"/>
              <w:rPr>
                <w:rFonts w:cs="Arial"/>
                <w:color w:val="000000"/>
                <w:szCs w:val="22"/>
                <w:lang w:val="en-US"/>
              </w:rPr>
            </w:pPr>
            <w:r w:rsidRPr="00D61A7A">
              <w:rPr>
                <w:rFonts w:cs="Arial"/>
                <w:color w:val="000000"/>
                <w:szCs w:val="22"/>
              </w:rPr>
              <w:t> </w:t>
            </w:r>
          </w:p>
        </w:tc>
        <w:tc>
          <w:tcPr>
            <w:tcW w:w="990" w:type="dxa"/>
            <w:shd w:val="clear" w:color="auto" w:fill="auto"/>
            <w:vAlign w:val="center"/>
            <w:hideMark/>
          </w:tcPr>
          <w:p w14:paraId="5D836E71"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UNDP</w:t>
            </w:r>
          </w:p>
        </w:tc>
        <w:tc>
          <w:tcPr>
            <w:tcW w:w="810" w:type="dxa"/>
            <w:shd w:val="clear" w:color="auto" w:fill="auto"/>
            <w:vAlign w:val="center"/>
            <w:hideMark/>
          </w:tcPr>
          <w:p w14:paraId="1630D2D3"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6A14A019" w14:textId="0930B845" w:rsidR="00230A72" w:rsidRPr="00D61A7A" w:rsidRDefault="00230A72" w:rsidP="00230A72">
            <w:pPr>
              <w:spacing w:after="0"/>
              <w:rPr>
                <w:rFonts w:cs="Arial"/>
                <w:color w:val="000000"/>
                <w:sz w:val="16"/>
                <w:szCs w:val="16"/>
                <w:lang w:val="en-US"/>
              </w:rPr>
            </w:pPr>
            <w:r>
              <w:rPr>
                <w:rFonts w:cs="Arial"/>
                <w:color w:val="000000"/>
                <w:sz w:val="16"/>
                <w:szCs w:val="16"/>
              </w:rPr>
              <w:t>Local Peace and Security Councils operationalization</w:t>
            </w:r>
          </w:p>
        </w:tc>
        <w:tc>
          <w:tcPr>
            <w:tcW w:w="1260" w:type="dxa"/>
            <w:shd w:val="clear" w:color="auto" w:fill="auto"/>
            <w:vAlign w:val="center"/>
            <w:hideMark/>
          </w:tcPr>
          <w:p w14:paraId="344EC8CF" w14:textId="3D4E4BEE"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Pr>
                <w:rFonts w:cs="Arial"/>
                <w:color w:val="000000"/>
                <w:sz w:val="16"/>
                <w:szCs w:val="16"/>
              </w:rPr>
              <w:t>100</w:t>
            </w:r>
            <w:r w:rsidRPr="00D61A7A">
              <w:rPr>
                <w:rFonts w:cs="Arial"/>
                <w:color w:val="000000"/>
                <w:sz w:val="16"/>
                <w:szCs w:val="16"/>
              </w:rPr>
              <w:t>,000.00</w:t>
            </w:r>
          </w:p>
        </w:tc>
      </w:tr>
      <w:tr w:rsidR="00230A72" w:rsidRPr="00D61A7A" w14:paraId="011ADCF1" w14:textId="77777777" w:rsidTr="00F95136">
        <w:tc>
          <w:tcPr>
            <w:tcW w:w="1608" w:type="dxa"/>
            <w:vMerge/>
            <w:vAlign w:val="center"/>
            <w:hideMark/>
          </w:tcPr>
          <w:p w14:paraId="6C8DAAFD"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11E5A333" w14:textId="77777777" w:rsidR="00230A72" w:rsidRPr="00D61A7A" w:rsidRDefault="00230A72" w:rsidP="00230A72">
            <w:pPr>
              <w:spacing w:after="0"/>
              <w:rPr>
                <w:rFonts w:cs="Arial"/>
                <w:color w:val="000000"/>
                <w:sz w:val="16"/>
                <w:szCs w:val="16"/>
                <w:lang w:val="en-US"/>
              </w:rPr>
            </w:pPr>
          </w:p>
        </w:tc>
        <w:tc>
          <w:tcPr>
            <w:tcW w:w="630" w:type="dxa"/>
            <w:vMerge/>
            <w:vAlign w:val="center"/>
            <w:hideMark/>
          </w:tcPr>
          <w:p w14:paraId="31B29599" w14:textId="77777777" w:rsidR="00230A72" w:rsidRPr="00D61A7A" w:rsidRDefault="00230A72" w:rsidP="00230A72">
            <w:pPr>
              <w:spacing w:after="0"/>
              <w:rPr>
                <w:rFonts w:cs="Arial"/>
                <w:color w:val="000000"/>
                <w:szCs w:val="22"/>
                <w:lang w:val="en-US"/>
              </w:rPr>
            </w:pPr>
          </w:p>
        </w:tc>
        <w:tc>
          <w:tcPr>
            <w:tcW w:w="630" w:type="dxa"/>
            <w:vMerge/>
            <w:vAlign w:val="center"/>
            <w:hideMark/>
          </w:tcPr>
          <w:p w14:paraId="2B21DFA8" w14:textId="77777777" w:rsidR="00230A72" w:rsidRPr="00D61A7A" w:rsidRDefault="00230A72" w:rsidP="00230A72">
            <w:pPr>
              <w:spacing w:after="0"/>
              <w:rPr>
                <w:rFonts w:cs="Arial"/>
                <w:color w:val="000000"/>
                <w:szCs w:val="22"/>
                <w:lang w:val="en-US"/>
              </w:rPr>
            </w:pPr>
          </w:p>
        </w:tc>
        <w:tc>
          <w:tcPr>
            <w:tcW w:w="990" w:type="dxa"/>
            <w:shd w:val="clear" w:color="auto" w:fill="auto"/>
            <w:vAlign w:val="center"/>
            <w:hideMark/>
          </w:tcPr>
          <w:p w14:paraId="4D8DF809" w14:textId="3A516BD6" w:rsidR="00230A72" w:rsidRPr="00D61A7A" w:rsidRDefault="00230A72" w:rsidP="00230A72">
            <w:pPr>
              <w:spacing w:after="0"/>
              <w:jc w:val="left"/>
              <w:rPr>
                <w:rFonts w:cs="Arial"/>
                <w:color w:val="000000"/>
                <w:sz w:val="16"/>
                <w:szCs w:val="16"/>
                <w:lang w:val="en-US"/>
              </w:rPr>
            </w:pPr>
            <w:r>
              <w:rPr>
                <w:rFonts w:cs="Arial"/>
                <w:color w:val="000000"/>
                <w:sz w:val="16"/>
                <w:szCs w:val="16"/>
                <w:lang w:val="en-US"/>
              </w:rPr>
              <w:t>UNDP</w:t>
            </w:r>
          </w:p>
        </w:tc>
        <w:tc>
          <w:tcPr>
            <w:tcW w:w="810" w:type="dxa"/>
            <w:shd w:val="clear" w:color="auto" w:fill="auto"/>
            <w:vAlign w:val="center"/>
            <w:hideMark/>
          </w:tcPr>
          <w:p w14:paraId="5A716076" w14:textId="75A10BB1" w:rsidR="00230A72" w:rsidRPr="00D61A7A" w:rsidRDefault="00230A72" w:rsidP="00230A72">
            <w:pPr>
              <w:spacing w:after="0"/>
              <w:jc w:val="left"/>
              <w:rPr>
                <w:rFonts w:cs="Arial"/>
                <w:color w:val="000000"/>
                <w:sz w:val="16"/>
                <w:szCs w:val="16"/>
                <w:lang w:val="en-US"/>
              </w:rPr>
            </w:pPr>
            <w:r>
              <w:rPr>
                <w:rFonts w:cs="Arial"/>
                <w:color w:val="000000"/>
                <w:sz w:val="16"/>
                <w:szCs w:val="16"/>
                <w:lang w:val="en-US"/>
              </w:rPr>
              <w:t>Japan</w:t>
            </w:r>
          </w:p>
        </w:tc>
        <w:tc>
          <w:tcPr>
            <w:tcW w:w="2160" w:type="dxa"/>
            <w:shd w:val="clear" w:color="auto" w:fill="auto"/>
            <w:vAlign w:val="center"/>
            <w:hideMark/>
          </w:tcPr>
          <w:p w14:paraId="4A8E7DFC" w14:textId="2D6DC2A0" w:rsidR="00230A72" w:rsidRPr="00D61A7A" w:rsidRDefault="00230A72" w:rsidP="00230A72">
            <w:pPr>
              <w:spacing w:after="0"/>
              <w:rPr>
                <w:rFonts w:cs="Arial"/>
                <w:color w:val="000000"/>
                <w:sz w:val="16"/>
                <w:szCs w:val="16"/>
                <w:lang w:val="en-US"/>
              </w:rPr>
            </w:pPr>
            <w:r>
              <w:rPr>
                <w:rFonts w:cs="Arial"/>
                <w:color w:val="000000"/>
                <w:sz w:val="16"/>
                <w:szCs w:val="16"/>
              </w:rPr>
              <w:t>Capacity building &amp; training</w:t>
            </w:r>
          </w:p>
        </w:tc>
        <w:tc>
          <w:tcPr>
            <w:tcW w:w="1260" w:type="dxa"/>
            <w:shd w:val="clear" w:color="auto" w:fill="auto"/>
            <w:vAlign w:val="center"/>
            <w:hideMark/>
          </w:tcPr>
          <w:p w14:paraId="578414B2" w14:textId="56248E3C"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Pr>
                <w:rFonts w:cs="Arial"/>
                <w:color w:val="000000"/>
                <w:sz w:val="16"/>
                <w:szCs w:val="16"/>
              </w:rPr>
              <w:t>2</w:t>
            </w:r>
            <w:r w:rsidR="001604EB">
              <w:rPr>
                <w:rFonts w:cs="Arial"/>
                <w:color w:val="000000"/>
                <w:sz w:val="16"/>
                <w:szCs w:val="16"/>
              </w:rPr>
              <w:t>0</w:t>
            </w:r>
            <w:r w:rsidRPr="00D61A7A">
              <w:rPr>
                <w:rFonts w:cs="Arial"/>
                <w:color w:val="000000"/>
                <w:sz w:val="16"/>
                <w:szCs w:val="16"/>
              </w:rPr>
              <w:t>,000.00</w:t>
            </w:r>
          </w:p>
        </w:tc>
      </w:tr>
      <w:tr w:rsidR="00230A72" w:rsidRPr="00D61A7A" w14:paraId="6881A28E" w14:textId="77777777" w:rsidTr="00F95136">
        <w:tc>
          <w:tcPr>
            <w:tcW w:w="1608" w:type="dxa"/>
            <w:vMerge/>
            <w:vAlign w:val="center"/>
            <w:hideMark/>
          </w:tcPr>
          <w:p w14:paraId="7E9AA8B8"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0E478A44" w14:textId="77777777" w:rsidR="00230A72" w:rsidRPr="00D61A7A" w:rsidRDefault="00230A72" w:rsidP="00230A72">
            <w:pPr>
              <w:spacing w:after="0"/>
              <w:rPr>
                <w:rFonts w:cs="Arial"/>
                <w:color w:val="000000"/>
                <w:sz w:val="16"/>
                <w:szCs w:val="16"/>
                <w:lang w:val="en-US"/>
              </w:rPr>
            </w:pPr>
          </w:p>
        </w:tc>
        <w:tc>
          <w:tcPr>
            <w:tcW w:w="630" w:type="dxa"/>
            <w:vMerge/>
            <w:vAlign w:val="center"/>
            <w:hideMark/>
          </w:tcPr>
          <w:p w14:paraId="6990159D" w14:textId="77777777" w:rsidR="00230A72" w:rsidRPr="00D61A7A" w:rsidRDefault="00230A72" w:rsidP="00230A72">
            <w:pPr>
              <w:spacing w:after="0"/>
              <w:rPr>
                <w:rFonts w:cs="Arial"/>
                <w:color w:val="000000"/>
                <w:szCs w:val="22"/>
                <w:lang w:val="en-US"/>
              </w:rPr>
            </w:pPr>
          </w:p>
        </w:tc>
        <w:tc>
          <w:tcPr>
            <w:tcW w:w="630" w:type="dxa"/>
            <w:vMerge/>
            <w:vAlign w:val="center"/>
            <w:hideMark/>
          </w:tcPr>
          <w:p w14:paraId="579A09BE" w14:textId="77777777" w:rsidR="00230A72" w:rsidRPr="00D61A7A" w:rsidRDefault="00230A72" w:rsidP="00230A72">
            <w:pPr>
              <w:spacing w:after="0"/>
              <w:rPr>
                <w:rFonts w:cs="Arial"/>
                <w:color w:val="000000"/>
                <w:szCs w:val="22"/>
                <w:lang w:val="en-US"/>
              </w:rPr>
            </w:pPr>
          </w:p>
        </w:tc>
        <w:tc>
          <w:tcPr>
            <w:tcW w:w="990" w:type="dxa"/>
            <w:shd w:val="clear" w:color="auto" w:fill="auto"/>
            <w:vAlign w:val="center"/>
            <w:hideMark/>
          </w:tcPr>
          <w:p w14:paraId="4B749278" w14:textId="3E4AC771" w:rsidR="00230A72" w:rsidRPr="00D61A7A" w:rsidRDefault="00230A72" w:rsidP="00230A72">
            <w:pPr>
              <w:spacing w:after="0"/>
              <w:jc w:val="left"/>
              <w:rPr>
                <w:rFonts w:cs="Arial"/>
                <w:color w:val="000000"/>
                <w:sz w:val="16"/>
                <w:szCs w:val="16"/>
                <w:lang w:val="en-US"/>
              </w:rPr>
            </w:pPr>
            <w:r>
              <w:rPr>
                <w:rFonts w:cs="Arial"/>
                <w:color w:val="000000"/>
                <w:sz w:val="16"/>
                <w:szCs w:val="16"/>
                <w:lang w:val="en-US"/>
              </w:rPr>
              <w:t>UNDP</w:t>
            </w:r>
          </w:p>
        </w:tc>
        <w:tc>
          <w:tcPr>
            <w:tcW w:w="810" w:type="dxa"/>
            <w:shd w:val="clear" w:color="auto" w:fill="auto"/>
            <w:vAlign w:val="center"/>
            <w:hideMark/>
          </w:tcPr>
          <w:p w14:paraId="5223D445" w14:textId="61F725C1" w:rsidR="00230A72" w:rsidRPr="00D61A7A" w:rsidRDefault="00230A72" w:rsidP="00230A72">
            <w:pPr>
              <w:spacing w:after="0"/>
              <w:jc w:val="left"/>
              <w:rPr>
                <w:rFonts w:cs="Arial"/>
                <w:color w:val="000000"/>
                <w:sz w:val="16"/>
                <w:szCs w:val="16"/>
                <w:lang w:val="en-US"/>
              </w:rPr>
            </w:pPr>
            <w:r>
              <w:rPr>
                <w:rFonts w:cs="Arial"/>
                <w:color w:val="000000"/>
                <w:sz w:val="16"/>
                <w:szCs w:val="16"/>
                <w:lang w:val="en-US"/>
              </w:rPr>
              <w:t>Japan</w:t>
            </w:r>
          </w:p>
        </w:tc>
        <w:tc>
          <w:tcPr>
            <w:tcW w:w="2160" w:type="dxa"/>
            <w:shd w:val="clear" w:color="auto" w:fill="auto"/>
            <w:vAlign w:val="center"/>
            <w:hideMark/>
          </w:tcPr>
          <w:p w14:paraId="43932A44" w14:textId="18D7DCB8" w:rsidR="00230A72" w:rsidRPr="00D61A7A" w:rsidRDefault="00230A72" w:rsidP="00230A72">
            <w:pPr>
              <w:spacing w:after="0"/>
              <w:rPr>
                <w:rFonts w:cs="Arial"/>
                <w:color w:val="000000"/>
                <w:sz w:val="16"/>
                <w:szCs w:val="16"/>
                <w:lang w:val="en-US"/>
              </w:rPr>
            </w:pPr>
            <w:r>
              <w:rPr>
                <w:rFonts w:cs="Arial"/>
                <w:color w:val="000000"/>
                <w:sz w:val="16"/>
                <w:szCs w:val="16"/>
              </w:rPr>
              <w:t>General operation cost (rent, utility, etc)</w:t>
            </w:r>
          </w:p>
        </w:tc>
        <w:tc>
          <w:tcPr>
            <w:tcW w:w="1260" w:type="dxa"/>
            <w:shd w:val="clear" w:color="auto" w:fill="auto"/>
            <w:vAlign w:val="center"/>
            <w:hideMark/>
          </w:tcPr>
          <w:p w14:paraId="7FC94C50" w14:textId="294F2C69"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$1</w:t>
            </w:r>
            <w:r>
              <w:rPr>
                <w:rFonts w:cs="Arial"/>
                <w:color w:val="000000"/>
                <w:sz w:val="16"/>
                <w:szCs w:val="16"/>
              </w:rPr>
              <w:t>79</w:t>
            </w:r>
            <w:r w:rsidRPr="00D61A7A">
              <w:rPr>
                <w:rFonts w:cs="Arial"/>
                <w:color w:val="000000"/>
                <w:sz w:val="16"/>
                <w:szCs w:val="16"/>
              </w:rPr>
              <w:t>,</w:t>
            </w:r>
            <w:r>
              <w:rPr>
                <w:rFonts w:cs="Arial"/>
                <w:color w:val="000000"/>
                <w:sz w:val="16"/>
                <w:szCs w:val="16"/>
              </w:rPr>
              <w:t>6</w:t>
            </w:r>
            <w:r w:rsidR="00223683">
              <w:rPr>
                <w:rFonts w:cs="Arial"/>
                <w:color w:val="000000"/>
                <w:sz w:val="16"/>
                <w:szCs w:val="16"/>
              </w:rPr>
              <w:t>68</w:t>
            </w:r>
            <w:r w:rsidRPr="00D61A7A">
              <w:rPr>
                <w:rFonts w:cs="Arial"/>
                <w:color w:val="000000"/>
                <w:sz w:val="16"/>
                <w:szCs w:val="16"/>
              </w:rPr>
              <w:t>.</w:t>
            </w:r>
            <w:r w:rsidR="00223683">
              <w:rPr>
                <w:rFonts w:cs="Arial"/>
                <w:color w:val="000000"/>
                <w:sz w:val="16"/>
                <w:szCs w:val="16"/>
              </w:rPr>
              <w:t>79</w:t>
            </w:r>
          </w:p>
        </w:tc>
      </w:tr>
      <w:tr w:rsidR="00230A72" w:rsidRPr="00D61A7A" w14:paraId="4F72CBD4" w14:textId="77777777" w:rsidTr="00F95136">
        <w:tc>
          <w:tcPr>
            <w:tcW w:w="1608" w:type="dxa"/>
            <w:vMerge/>
            <w:vAlign w:val="center"/>
            <w:hideMark/>
          </w:tcPr>
          <w:p w14:paraId="5046076A"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29974194" w14:textId="77777777" w:rsidR="00230A72" w:rsidRPr="00D61A7A" w:rsidRDefault="00230A72" w:rsidP="00230A72">
            <w:pPr>
              <w:spacing w:after="0"/>
              <w:rPr>
                <w:rFonts w:cs="Arial"/>
                <w:color w:val="000000"/>
                <w:sz w:val="16"/>
                <w:szCs w:val="16"/>
                <w:lang w:val="en-US"/>
              </w:rPr>
            </w:pPr>
          </w:p>
        </w:tc>
        <w:tc>
          <w:tcPr>
            <w:tcW w:w="630" w:type="dxa"/>
            <w:vMerge/>
            <w:vAlign w:val="center"/>
            <w:hideMark/>
          </w:tcPr>
          <w:p w14:paraId="2ABB9CF7" w14:textId="77777777" w:rsidR="00230A72" w:rsidRPr="00D61A7A" w:rsidRDefault="00230A72" w:rsidP="00230A72">
            <w:pPr>
              <w:spacing w:after="0"/>
              <w:rPr>
                <w:rFonts w:cs="Arial"/>
                <w:color w:val="000000"/>
                <w:szCs w:val="22"/>
                <w:lang w:val="en-US"/>
              </w:rPr>
            </w:pPr>
          </w:p>
        </w:tc>
        <w:tc>
          <w:tcPr>
            <w:tcW w:w="630" w:type="dxa"/>
            <w:vMerge/>
            <w:vAlign w:val="center"/>
            <w:hideMark/>
          </w:tcPr>
          <w:p w14:paraId="7A816D2B" w14:textId="77777777" w:rsidR="00230A72" w:rsidRPr="00D61A7A" w:rsidRDefault="00230A72" w:rsidP="00230A72">
            <w:pPr>
              <w:spacing w:after="0"/>
              <w:rPr>
                <w:rFonts w:cs="Arial"/>
                <w:color w:val="000000"/>
                <w:szCs w:val="22"/>
                <w:lang w:val="en-US"/>
              </w:rPr>
            </w:pPr>
          </w:p>
        </w:tc>
        <w:tc>
          <w:tcPr>
            <w:tcW w:w="990" w:type="dxa"/>
            <w:shd w:val="clear" w:color="auto" w:fill="auto"/>
            <w:vAlign w:val="center"/>
            <w:hideMark/>
          </w:tcPr>
          <w:p w14:paraId="524608BA"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UNDP</w:t>
            </w:r>
          </w:p>
        </w:tc>
        <w:tc>
          <w:tcPr>
            <w:tcW w:w="810" w:type="dxa"/>
            <w:shd w:val="clear" w:color="auto" w:fill="auto"/>
            <w:vAlign w:val="center"/>
            <w:hideMark/>
          </w:tcPr>
          <w:p w14:paraId="63C99605"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478D1E79" w14:textId="2E739628" w:rsidR="00230A72" w:rsidRPr="00D61A7A" w:rsidRDefault="00230A72" w:rsidP="00230A72">
            <w:pPr>
              <w:spacing w:after="0"/>
              <w:rPr>
                <w:rFonts w:cs="Arial"/>
                <w:color w:val="000000"/>
                <w:sz w:val="16"/>
                <w:szCs w:val="16"/>
                <w:lang w:val="en-US"/>
              </w:rPr>
            </w:pPr>
            <w:r>
              <w:rPr>
                <w:rFonts w:cs="Arial"/>
                <w:iCs/>
                <w:color w:val="000000"/>
                <w:sz w:val="16"/>
              </w:rPr>
              <w:t>Communication &amp; advocacy</w:t>
            </w:r>
          </w:p>
        </w:tc>
        <w:tc>
          <w:tcPr>
            <w:tcW w:w="1260" w:type="dxa"/>
            <w:shd w:val="clear" w:color="auto" w:fill="auto"/>
            <w:vAlign w:val="center"/>
            <w:hideMark/>
          </w:tcPr>
          <w:p w14:paraId="0BD6EDF0" w14:textId="6F40303F"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$3</w:t>
            </w:r>
            <w:r w:rsidR="00223683">
              <w:rPr>
                <w:rFonts w:cs="Arial"/>
                <w:color w:val="000000"/>
                <w:sz w:val="16"/>
                <w:szCs w:val="16"/>
              </w:rPr>
              <w:t>2</w:t>
            </w:r>
            <w:r w:rsidRPr="00D61A7A">
              <w:rPr>
                <w:rFonts w:cs="Arial"/>
                <w:color w:val="000000"/>
                <w:sz w:val="16"/>
                <w:szCs w:val="16"/>
              </w:rPr>
              <w:t>,</w:t>
            </w:r>
            <w:r w:rsidR="00223683">
              <w:rPr>
                <w:rFonts w:cs="Arial"/>
                <w:color w:val="000000"/>
                <w:sz w:val="16"/>
                <w:szCs w:val="16"/>
              </w:rPr>
              <w:t>230</w:t>
            </w:r>
            <w:r w:rsidRPr="00D61A7A">
              <w:rPr>
                <w:rFonts w:cs="Arial"/>
                <w:color w:val="000000"/>
                <w:sz w:val="16"/>
                <w:szCs w:val="16"/>
              </w:rPr>
              <w:t>.</w:t>
            </w:r>
            <w:r>
              <w:rPr>
                <w:rFonts w:cs="Arial"/>
                <w:color w:val="000000"/>
                <w:sz w:val="16"/>
                <w:szCs w:val="16"/>
              </w:rPr>
              <w:t>4</w:t>
            </w:r>
            <w:r w:rsidR="00223683">
              <w:rPr>
                <w:rFonts w:cs="Arial"/>
                <w:color w:val="000000"/>
                <w:sz w:val="16"/>
                <w:szCs w:val="16"/>
              </w:rPr>
              <w:t>5</w:t>
            </w:r>
          </w:p>
        </w:tc>
      </w:tr>
      <w:tr w:rsidR="00230A72" w:rsidRPr="00D61A7A" w14:paraId="365B1AC8" w14:textId="77777777" w:rsidTr="00F95136">
        <w:tc>
          <w:tcPr>
            <w:tcW w:w="1608" w:type="dxa"/>
            <w:vMerge/>
            <w:vAlign w:val="center"/>
            <w:hideMark/>
          </w:tcPr>
          <w:p w14:paraId="02027456"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3335C56F" w14:textId="77777777" w:rsidR="00230A72" w:rsidRPr="00D61A7A" w:rsidRDefault="00230A72" w:rsidP="00230A72">
            <w:pPr>
              <w:spacing w:after="0"/>
              <w:rPr>
                <w:rFonts w:cs="Arial"/>
                <w:color w:val="000000"/>
                <w:sz w:val="16"/>
                <w:szCs w:val="16"/>
                <w:lang w:val="en-US"/>
              </w:rPr>
            </w:pPr>
          </w:p>
        </w:tc>
        <w:tc>
          <w:tcPr>
            <w:tcW w:w="630" w:type="dxa"/>
            <w:vMerge/>
            <w:vAlign w:val="center"/>
            <w:hideMark/>
          </w:tcPr>
          <w:p w14:paraId="30E40407" w14:textId="77777777" w:rsidR="00230A72" w:rsidRPr="00D61A7A" w:rsidRDefault="00230A72" w:rsidP="00230A72">
            <w:pPr>
              <w:spacing w:after="0"/>
              <w:rPr>
                <w:rFonts w:cs="Arial"/>
                <w:color w:val="000000"/>
                <w:szCs w:val="22"/>
                <w:lang w:val="en-US"/>
              </w:rPr>
            </w:pPr>
          </w:p>
        </w:tc>
        <w:tc>
          <w:tcPr>
            <w:tcW w:w="630" w:type="dxa"/>
            <w:vMerge/>
            <w:vAlign w:val="center"/>
            <w:hideMark/>
          </w:tcPr>
          <w:p w14:paraId="367B3CB6" w14:textId="77777777" w:rsidR="00230A72" w:rsidRPr="00D61A7A" w:rsidRDefault="00230A72" w:rsidP="00230A72">
            <w:pPr>
              <w:spacing w:after="0"/>
              <w:rPr>
                <w:rFonts w:cs="Arial"/>
                <w:color w:val="000000"/>
                <w:szCs w:val="22"/>
                <w:lang w:val="en-US"/>
              </w:rPr>
            </w:pPr>
          </w:p>
        </w:tc>
        <w:tc>
          <w:tcPr>
            <w:tcW w:w="990" w:type="dxa"/>
            <w:shd w:val="clear" w:color="auto" w:fill="auto"/>
            <w:vAlign w:val="center"/>
            <w:hideMark/>
          </w:tcPr>
          <w:p w14:paraId="30D4E67D"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UNDP</w:t>
            </w:r>
          </w:p>
        </w:tc>
        <w:tc>
          <w:tcPr>
            <w:tcW w:w="810" w:type="dxa"/>
            <w:shd w:val="clear" w:color="auto" w:fill="auto"/>
            <w:vAlign w:val="center"/>
            <w:hideMark/>
          </w:tcPr>
          <w:p w14:paraId="729B111D"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41EC7F38"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Misc.</w:t>
            </w:r>
          </w:p>
        </w:tc>
        <w:tc>
          <w:tcPr>
            <w:tcW w:w="1260" w:type="dxa"/>
            <w:shd w:val="clear" w:color="auto" w:fill="auto"/>
            <w:vAlign w:val="center"/>
            <w:hideMark/>
          </w:tcPr>
          <w:p w14:paraId="28D96096" w14:textId="508387E5"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Pr>
                <w:rFonts w:cs="Arial"/>
                <w:color w:val="000000"/>
                <w:sz w:val="16"/>
                <w:szCs w:val="16"/>
              </w:rPr>
              <w:t>8</w:t>
            </w:r>
            <w:r w:rsidRPr="00D61A7A">
              <w:rPr>
                <w:rFonts w:cs="Arial"/>
                <w:color w:val="000000"/>
                <w:sz w:val="16"/>
                <w:szCs w:val="16"/>
              </w:rPr>
              <w:t>,</w:t>
            </w:r>
            <w:r>
              <w:rPr>
                <w:rFonts w:cs="Arial"/>
                <w:color w:val="000000"/>
                <w:sz w:val="16"/>
                <w:szCs w:val="16"/>
              </w:rPr>
              <w:t>683</w:t>
            </w:r>
            <w:r w:rsidRPr="00D61A7A">
              <w:rPr>
                <w:rFonts w:cs="Arial"/>
                <w:color w:val="000000"/>
                <w:sz w:val="16"/>
                <w:szCs w:val="16"/>
              </w:rPr>
              <w:t>.</w:t>
            </w:r>
            <w:r>
              <w:rPr>
                <w:rFonts w:cs="Arial"/>
                <w:color w:val="000000"/>
                <w:sz w:val="16"/>
                <w:szCs w:val="16"/>
              </w:rPr>
              <w:t>19</w:t>
            </w:r>
          </w:p>
        </w:tc>
      </w:tr>
      <w:tr w:rsidR="00230A72" w:rsidRPr="00D61A7A" w14:paraId="2EB511E6" w14:textId="77777777" w:rsidTr="00F95136">
        <w:tc>
          <w:tcPr>
            <w:tcW w:w="1608" w:type="dxa"/>
            <w:vMerge/>
            <w:vAlign w:val="center"/>
            <w:hideMark/>
          </w:tcPr>
          <w:p w14:paraId="5DB17DB1" w14:textId="77777777" w:rsidR="00230A72" w:rsidRPr="00D61A7A" w:rsidRDefault="00230A72" w:rsidP="00230A72">
            <w:pPr>
              <w:spacing w:after="0"/>
              <w:jc w:val="left"/>
              <w:rPr>
                <w:rFonts w:cs="Arial"/>
                <w:color w:val="000000"/>
                <w:sz w:val="16"/>
                <w:szCs w:val="16"/>
                <w:lang w:val="en-US"/>
              </w:rPr>
            </w:pPr>
          </w:p>
        </w:tc>
        <w:tc>
          <w:tcPr>
            <w:tcW w:w="1869" w:type="dxa"/>
            <w:vMerge/>
            <w:vAlign w:val="center"/>
            <w:hideMark/>
          </w:tcPr>
          <w:p w14:paraId="7D2FDFC4" w14:textId="77777777" w:rsidR="00230A72" w:rsidRPr="00D61A7A" w:rsidRDefault="00230A72" w:rsidP="00230A72">
            <w:pPr>
              <w:spacing w:after="0"/>
              <w:rPr>
                <w:rFonts w:cs="Arial"/>
                <w:color w:val="000000"/>
                <w:sz w:val="16"/>
                <w:szCs w:val="16"/>
                <w:lang w:val="en-US"/>
              </w:rPr>
            </w:pPr>
          </w:p>
        </w:tc>
        <w:tc>
          <w:tcPr>
            <w:tcW w:w="630" w:type="dxa"/>
            <w:vMerge/>
            <w:vAlign w:val="center"/>
            <w:hideMark/>
          </w:tcPr>
          <w:p w14:paraId="30A854B2" w14:textId="77777777" w:rsidR="00230A72" w:rsidRPr="00D61A7A" w:rsidRDefault="00230A72" w:rsidP="00230A72">
            <w:pPr>
              <w:spacing w:after="0"/>
              <w:rPr>
                <w:rFonts w:cs="Arial"/>
                <w:color w:val="000000"/>
                <w:szCs w:val="22"/>
                <w:lang w:val="en-US"/>
              </w:rPr>
            </w:pPr>
          </w:p>
        </w:tc>
        <w:tc>
          <w:tcPr>
            <w:tcW w:w="630" w:type="dxa"/>
            <w:vMerge/>
            <w:vAlign w:val="center"/>
            <w:hideMark/>
          </w:tcPr>
          <w:p w14:paraId="44C5F91F" w14:textId="77777777" w:rsidR="00230A72" w:rsidRPr="00D61A7A" w:rsidRDefault="00230A72" w:rsidP="00230A72">
            <w:pPr>
              <w:spacing w:after="0"/>
              <w:rPr>
                <w:rFonts w:cs="Arial"/>
                <w:color w:val="000000"/>
                <w:szCs w:val="22"/>
                <w:lang w:val="en-US"/>
              </w:rPr>
            </w:pPr>
          </w:p>
        </w:tc>
        <w:tc>
          <w:tcPr>
            <w:tcW w:w="990" w:type="dxa"/>
            <w:shd w:val="clear" w:color="auto" w:fill="auto"/>
            <w:vAlign w:val="center"/>
            <w:hideMark/>
          </w:tcPr>
          <w:p w14:paraId="79F2E689"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UNDP</w:t>
            </w:r>
          </w:p>
        </w:tc>
        <w:tc>
          <w:tcPr>
            <w:tcW w:w="810" w:type="dxa"/>
            <w:shd w:val="clear" w:color="auto" w:fill="auto"/>
            <w:vAlign w:val="center"/>
            <w:hideMark/>
          </w:tcPr>
          <w:p w14:paraId="76831286" w14:textId="77777777" w:rsidR="00230A72" w:rsidRPr="00D61A7A" w:rsidRDefault="00230A72" w:rsidP="00230A72">
            <w:pPr>
              <w:spacing w:after="0"/>
              <w:rPr>
                <w:rFonts w:cs="Arial"/>
                <w:color w:val="000000"/>
                <w:sz w:val="16"/>
                <w:szCs w:val="16"/>
                <w:lang w:val="en-US"/>
              </w:rPr>
            </w:pPr>
            <w:r w:rsidRPr="00D61A7A">
              <w:rPr>
                <w:rFonts w:cs="Arial"/>
                <w:color w:val="000000"/>
                <w:sz w:val="16"/>
                <w:szCs w:val="16"/>
              </w:rPr>
              <w:t>Japan</w:t>
            </w:r>
          </w:p>
        </w:tc>
        <w:tc>
          <w:tcPr>
            <w:tcW w:w="2160" w:type="dxa"/>
            <w:shd w:val="clear" w:color="auto" w:fill="auto"/>
            <w:vAlign w:val="center"/>
            <w:hideMark/>
          </w:tcPr>
          <w:p w14:paraId="1D6A8928" w14:textId="59D94684" w:rsidR="00230A72" w:rsidRPr="00D61A7A" w:rsidRDefault="00230A72" w:rsidP="00230A72">
            <w:pPr>
              <w:spacing w:after="0"/>
              <w:rPr>
                <w:rFonts w:cs="Arial"/>
                <w:color w:val="000000"/>
                <w:sz w:val="16"/>
                <w:szCs w:val="16"/>
                <w:lang w:val="en-US"/>
              </w:rPr>
            </w:pPr>
            <w:r>
              <w:rPr>
                <w:rFonts w:cs="Arial"/>
                <w:color w:val="000000"/>
                <w:sz w:val="16"/>
                <w:szCs w:val="16"/>
              </w:rPr>
              <w:t>Travel &amp; local transportation</w:t>
            </w:r>
          </w:p>
        </w:tc>
        <w:tc>
          <w:tcPr>
            <w:tcW w:w="1260" w:type="dxa"/>
            <w:shd w:val="clear" w:color="auto" w:fill="auto"/>
            <w:vAlign w:val="center"/>
            <w:hideMark/>
          </w:tcPr>
          <w:p w14:paraId="1B1C7B5B" w14:textId="08B3EB35"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Pr>
                <w:rFonts w:cs="Arial"/>
                <w:color w:val="000000"/>
                <w:sz w:val="16"/>
                <w:szCs w:val="16"/>
              </w:rPr>
              <w:t>1</w:t>
            </w:r>
            <w:r w:rsidRPr="00D61A7A">
              <w:rPr>
                <w:rFonts w:cs="Arial"/>
                <w:color w:val="000000"/>
                <w:sz w:val="16"/>
                <w:szCs w:val="16"/>
              </w:rPr>
              <w:t>0,000.00</w:t>
            </w:r>
          </w:p>
        </w:tc>
      </w:tr>
      <w:tr w:rsidR="00230A72" w:rsidRPr="00D61A7A" w14:paraId="2AA8822C" w14:textId="77777777" w:rsidTr="00F95136">
        <w:tc>
          <w:tcPr>
            <w:tcW w:w="1608" w:type="dxa"/>
            <w:vMerge/>
            <w:vAlign w:val="center"/>
            <w:hideMark/>
          </w:tcPr>
          <w:p w14:paraId="737C751A" w14:textId="77777777" w:rsidR="00230A72" w:rsidRPr="00D61A7A" w:rsidRDefault="00230A72" w:rsidP="00230A72">
            <w:pPr>
              <w:spacing w:after="0"/>
              <w:jc w:val="left"/>
              <w:rPr>
                <w:rFonts w:cs="Arial"/>
                <w:color w:val="000000"/>
                <w:sz w:val="16"/>
                <w:szCs w:val="16"/>
                <w:lang w:val="en-US"/>
              </w:rPr>
            </w:pPr>
          </w:p>
        </w:tc>
        <w:tc>
          <w:tcPr>
            <w:tcW w:w="7089" w:type="dxa"/>
            <w:gridSpan w:val="6"/>
            <w:shd w:val="clear" w:color="auto" w:fill="F2F2F2" w:themeFill="background1" w:themeFillShade="F2"/>
            <w:vAlign w:val="center"/>
            <w:hideMark/>
          </w:tcPr>
          <w:p w14:paraId="08A54A67" w14:textId="77777777" w:rsidR="00230A72" w:rsidRPr="00D61A7A" w:rsidRDefault="00230A72" w:rsidP="00230A72">
            <w:pPr>
              <w:spacing w:after="0"/>
              <w:jc w:val="left"/>
              <w:rPr>
                <w:rFonts w:cs="Arial"/>
                <w:b/>
                <w:bCs/>
                <w:color w:val="000000"/>
                <w:sz w:val="16"/>
                <w:szCs w:val="16"/>
                <w:lang w:val="en-US"/>
              </w:rPr>
            </w:pPr>
            <w:r w:rsidRPr="00D61A7A">
              <w:rPr>
                <w:rFonts w:cs="Arial"/>
                <w:b/>
                <w:bCs/>
                <w:color w:val="000000"/>
                <w:sz w:val="16"/>
                <w:szCs w:val="16"/>
              </w:rPr>
              <w:t>Sub-Total for Output 2</w:t>
            </w:r>
          </w:p>
        </w:tc>
        <w:tc>
          <w:tcPr>
            <w:tcW w:w="1260" w:type="dxa"/>
            <w:shd w:val="clear" w:color="auto" w:fill="F2F2F2" w:themeFill="background1" w:themeFillShade="F2"/>
            <w:vAlign w:val="center"/>
          </w:tcPr>
          <w:p w14:paraId="482410E2" w14:textId="1DD81470" w:rsidR="00230A72" w:rsidRPr="00D61A7A" w:rsidRDefault="00230A72" w:rsidP="00230A72">
            <w:pPr>
              <w:spacing w:after="0"/>
              <w:jc w:val="right"/>
              <w:rPr>
                <w:rFonts w:cs="Arial"/>
                <w:b/>
                <w:bCs/>
                <w:color w:val="000000"/>
                <w:sz w:val="16"/>
                <w:szCs w:val="16"/>
                <w:lang w:val="en-US"/>
              </w:rPr>
            </w:pPr>
            <w:r>
              <w:rPr>
                <w:rFonts w:cs="Arial"/>
                <w:b/>
                <w:bCs/>
                <w:color w:val="000000"/>
                <w:sz w:val="16"/>
                <w:szCs w:val="16"/>
                <w:lang w:val="en-US"/>
              </w:rPr>
              <w:t>$</w:t>
            </w:r>
            <w:r w:rsidR="00223683">
              <w:rPr>
                <w:rFonts w:cs="Arial"/>
                <w:b/>
                <w:bCs/>
                <w:color w:val="000000"/>
                <w:sz w:val="16"/>
                <w:szCs w:val="16"/>
                <w:lang w:val="en-US"/>
              </w:rPr>
              <w:t>901</w:t>
            </w:r>
            <w:r>
              <w:rPr>
                <w:rFonts w:cs="Arial"/>
                <w:b/>
                <w:bCs/>
                <w:color w:val="000000"/>
                <w:sz w:val="16"/>
                <w:szCs w:val="16"/>
                <w:lang w:val="en-US"/>
              </w:rPr>
              <w:t>,</w:t>
            </w:r>
            <w:r w:rsidR="00223683">
              <w:rPr>
                <w:rFonts w:cs="Arial"/>
                <w:b/>
                <w:bCs/>
                <w:color w:val="000000"/>
                <w:sz w:val="16"/>
                <w:szCs w:val="16"/>
                <w:lang w:val="en-US"/>
              </w:rPr>
              <w:t>565</w:t>
            </w:r>
            <w:r>
              <w:rPr>
                <w:rFonts w:cs="Arial"/>
                <w:b/>
                <w:bCs/>
                <w:color w:val="000000"/>
                <w:sz w:val="16"/>
                <w:szCs w:val="16"/>
                <w:lang w:val="en-US"/>
              </w:rPr>
              <w:t>.</w:t>
            </w:r>
            <w:r w:rsidR="00223683">
              <w:rPr>
                <w:rFonts w:cs="Arial"/>
                <w:b/>
                <w:bCs/>
                <w:color w:val="000000"/>
                <w:sz w:val="16"/>
                <w:szCs w:val="16"/>
                <w:lang w:val="en-US"/>
              </w:rPr>
              <w:t>00</w:t>
            </w:r>
            <w:bookmarkStart w:id="4" w:name="_GoBack"/>
            <w:bookmarkEnd w:id="4"/>
          </w:p>
        </w:tc>
      </w:tr>
      <w:tr w:rsidR="00230A72" w:rsidRPr="00D61A7A" w14:paraId="514D8ED9" w14:textId="77777777" w:rsidTr="00F95136">
        <w:tc>
          <w:tcPr>
            <w:tcW w:w="1608" w:type="dxa"/>
            <w:shd w:val="clear" w:color="auto" w:fill="auto"/>
            <w:vAlign w:val="center"/>
          </w:tcPr>
          <w:p w14:paraId="417D91BD" w14:textId="4AD68D25" w:rsidR="00230A72" w:rsidRPr="00D61A7A" w:rsidRDefault="00230A72" w:rsidP="00230A72">
            <w:pPr>
              <w:spacing w:after="0"/>
              <w:jc w:val="left"/>
              <w:rPr>
                <w:rFonts w:cs="Arial"/>
                <w:b/>
                <w:bCs/>
                <w:color w:val="000000"/>
                <w:sz w:val="16"/>
                <w:szCs w:val="16"/>
              </w:rPr>
            </w:pPr>
            <w:r>
              <w:rPr>
                <w:rFonts w:cs="Arial"/>
                <w:b/>
                <w:bCs/>
                <w:color w:val="000000"/>
                <w:sz w:val="16"/>
                <w:szCs w:val="16"/>
                <w:lang w:val="en-US"/>
              </w:rPr>
              <w:t>UNDP project staff cost (Output 1 – 2)</w:t>
            </w:r>
          </w:p>
        </w:tc>
        <w:tc>
          <w:tcPr>
            <w:tcW w:w="7089" w:type="dxa"/>
            <w:gridSpan w:val="6"/>
            <w:shd w:val="clear" w:color="auto" w:fill="auto"/>
            <w:vAlign w:val="center"/>
          </w:tcPr>
          <w:p w14:paraId="094CE425" w14:textId="77777777" w:rsidR="00230A72" w:rsidRPr="00D61A7A" w:rsidRDefault="00230A72" w:rsidP="00230A72">
            <w:pPr>
              <w:spacing w:after="0"/>
              <w:jc w:val="left"/>
              <w:rPr>
                <w:rFonts w:cs="Arial"/>
                <w:color w:val="000000"/>
                <w:sz w:val="16"/>
                <w:szCs w:val="16"/>
              </w:rPr>
            </w:pPr>
          </w:p>
        </w:tc>
        <w:tc>
          <w:tcPr>
            <w:tcW w:w="1260" w:type="dxa"/>
            <w:shd w:val="clear" w:color="auto" w:fill="auto"/>
            <w:vAlign w:val="center"/>
          </w:tcPr>
          <w:p w14:paraId="65D902CE" w14:textId="30FFE60B" w:rsidR="00230A72" w:rsidRPr="0024263D" w:rsidRDefault="00230A72" w:rsidP="00230A72">
            <w:pPr>
              <w:spacing w:after="0"/>
              <w:jc w:val="right"/>
              <w:rPr>
                <w:rFonts w:eastAsia="Yu Mincho" w:cs="Arial"/>
                <w:b/>
                <w:bCs/>
                <w:color w:val="000000"/>
                <w:sz w:val="16"/>
                <w:szCs w:val="16"/>
                <w:lang w:eastAsia="ja-JP"/>
              </w:rPr>
            </w:pPr>
            <w:r>
              <w:rPr>
                <w:rFonts w:cs="Arial"/>
                <w:b/>
                <w:bCs/>
                <w:color w:val="000000"/>
                <w:sz w:val="16"/>
                <w:szCs w:val="16"/>
              </w:rPr>
              <w:t>$839,060.00</w:t>
            </w:r>
          </w:p>
        </w:tc>
      </w:tr>
      <w:tr w:rsidR="00230A72" w:rsidRPr="00D61A7A" w14:paraId="4A0EDBAE" w14:textId="77777777" w:rsidTr="00F95136">
        <w:tc>
          <w:tcPr>
            <w:tcW w:w="1608" w:type="dxa"/>
            <w:shd w:val="clear" w:color="auto" w:fill="auto"/>
            <w:vAlign w:val="center"/>
            <w:hideMark/>
          </w:tcPr>
          <w:p w14:paraId="276DF7E5" w14:textId="77777777" w:rsidR="00230A72" w:rsidRPr="00D61A7A" w:rsidRDefault="00230A72" w:rsidP="00230A72">
            <w:pPr>
              <w:spacing w:after="0"/>
              <w:jc w:val="left"/>
              <w:rPr>
                <w:rFonts w:cs="Arial"/>
                <w:b/>
                <w:bCs/>
                <w:color w:val="000000"/>
                <w:sz w:val="16"/>
                <w:szCs w:val="16"/>
                <w:lang w:val="en-US"/>
              </w:rPr>
            </w:pPr>
            <w:r w:rsidRPr="00D61A7A">
              <w:rPr>
                <w:rFonts w:cs="Arial"/>
                <w:b/>
                <w:bCs/>
                <w:color w:val="000000"/>
                <w:sz w:val="16"/>
                <w:szCs w:val="16"/>
              </w:rPr>
              <w:t>Sub-total</w:t>
            </w:r>
          </w:p>
        </w:tc>
        <w:tc>
          <w:tcPr>
            <w:tcW w:w="7089" w:type="dxa"/>
            <w:gridSpan w:val="6"/>
            <w:shd w:val="clear" w:color="auto" w:fill="auto"/>
            <w:vAlign w:val="center"/>
            <w:hideMark/>
          </w:tcPr>
          <w:p w14:paraId="40CBD698" w14:textId="77777777" w:rsidR="00230A72" w:rsidRPr="00D61A7A" w:rsidRDefault="00230A72" w:rsidP="00230A72">
            <w:pPr>
              <w:spacing w:after="0"/>
              <w:jc w:val="left"/>
              <w:rPr>
                <w:rFonts w:cs="Arial"/>
                <w:color w:val="000000"/>
                <w:sz w:val="16"/>
                <w:szCs w:val="16"/>
                <w:lang w:val="en-US"/>
              </w:rPr>
            </w:pPr>
            <w:r w:rsidRPr="00D61A7A">
              <w:rPr>
                <w:rFonts w:cs="Arial"/>
                <w:color w:val="000000"/>
                <w:sz w:val="16"/>
                <w:szCs w:val="16"/>
              </w:rPr>
              <w:t> </w:t>
            </w:r>
          </w:p>
        </w:tc>
        <w:tc>
          <w:tcPr>
            <w:tcW w:w="1260" w:type="dxa"/>
            <w:shd w:val="clear" w:color="auto" w:fill="auto"/>
            <w:vAlign w:val="center"/>
            <w:hideMark/>
          </w:tcPr>
          <w:p w14:paraId="66F46D38" w14:textId="3B7D8127" w:rsidR="00230A72" w:rsidRPr="00D61A7A" w:rsidRDefault="00230A72" w:rsidP="00230A72">
            <w:pPr>
              <w:spacing w:after="0"/>
              <w:jc w:val="right"/>
              <w:rPr>
                <w:rFonts w:cs="Arial"/>
                <w:b/>
                <w:bCs/>
                <w:color w:val="000000"/>
                <w:sz w:val="16"/>
                <w:szCs w:val="16"/>
                <w:lang w:val="en-US" w:eastAsia="ja-JP"/>
              </w:rPr>
            </w:pPr>
            <w:r w:rsidRPr="00CB55D3">
              <w:rPr>
                <w:b/>
                <w:color w:val="000000" w:themeColor="text1"/>
                <w:sz w:val="16"/>
              </w:rPr>
              <w:t>$2,7</w:t>
            </w:r>
            <w:r>
              <w:rPr>
                <w:b/>
                <w:color w:val="000000" w:themeColor="text1"/>
                <w:sz w:val="16"/>
              </w:rPr>
              <w:t>50</w:t>
            </w:r>
            <w:r w:rsidRPr="00CB55D3">
              <w:rPr>
                <w:b/>
                <w:color w:val="000000" w:themeColor="text1"/>
                <w:sz w:val="16"/>
              </w:rPr>
              <w:t>,</w:t>
            </w:r>
            <w:r>
              <w:rPr>
                <w:b/>
                <w:color w:val="000000" w:themeColor="text1"/>
                <w:sz w:val="16"/>
              </w:rPr>
              <w:t>2</w:t>
            </w:r>
            <w:r w:rsidRPr="00CB55D3">
              <w:rPr>
                <w:b/>
                <w:color w:val="000000" w:themeColor="text1"/>
                <w:sz w:val="16"/>
              </w:rPr>
              <w:t>7</w:t>
            </w:r>
            <w:r>
              <w:rPr>
                <w:b/>
                <w:color w:val="000000" w:themeColor="text1"/>
                <w:sz w:val="16"/>
              </w:rPr>
              <w:t>5</w:t>
            </w:r>
            <w:r w:rsidRPr="00CB55D3">
              <w:rPr>
                <w:b/>
                <w:color w:val="000000" w:themeColor="text1"/>
                <w:sz w:val="16"/>
              </w:rPr>
              <w:t>.</w:t>
            </w:r>
            <w:r>
              <w:rPr>
                <w:b/>
                <w:color w:val="000000" w:themeColor="text1"/>
                <w:sz w:val="16"/>
              </w:rPr>
              <w:t>00</w:t>
            </w:r>
            <w:r>
              <w:rPr>
                <w:rFonts w:cs="Arial"/>
                <w:b/>
                <w:bCs/>
                <w:color w:val="000000"/>
                <w:sz w:val="16"/>
                <w:szCs w:val="16"/>
              </w:rPr>
              <w:t xml:space="preserve"> </w:t>
            </w:r>
            <w:r w:rsidRPr="00D61A7A">
              <w:rPr>
                <w:rFonts w:cs="Arial"/>
                <w:b/>
                <w:bCs/>
                <w:color w:val="000000"/>
                <w:sz w:val="16"/>
                <w:szCs w:val="16"/>
              </w:rPr>
              <w:t xml:space="preserve"> </w:t>
            </w:r>
            <w:r w:rsidRPr="7DF5A6EA">
              <w:rPr>
                <w:rFonts w:cs="Arial"/>
                <w:b/>
                <w:bCs/>
                <w:color w:val="000000" w:themeColor="text1"/>
                <w:sz w:val="16"/>
                <w:szCs w:val="16"/>
              </w:rPr>
              <w:t xml:space="preserve">  </w:t>
            </w:r>
          </w:p>
        </w:tc>
      </w:tr>
      <w:tr w:rsidR="00230A72" w:rsidRPr="00D61A7A" w14:paraId="02185F36" w14:textId="77777777" w:rsidTr="00F95136">
        <w:tc>
          <w:tcPr>
            <w:tcW w:w="1608" w:type="dxa"/>
            <w:shd w:val="clear" w:color="auto" w:fill="auto"/>
            <w:vAlign w:val="center"/>
            <w:hideMark/>
          </w:tcPr>
          <w:p w14:paraId="370E6FFD" w14:textId="77777777" w:rsidR="00230A72" w:rsidRPr="00D61A7A" w:rsidRDefault="00230A72" w:rsidP="00230A72">
            <w:pPr>
              <w:spacing w:after="0"/>
              <w:jc w:val="left"/>
              <w:rPr>
                <w:rFonts w:cs="Arial"/>
                <w:b/>
                <w:bCs/>
                <w:color w:val="000000"/>
                <w:sz w:val="16"/>
                <w:szCs w:val="16"/>
                <w:lang w:val="en-US"/>
              </w:rPr>
            </w:pPr>
            <w:r w:rsidRPr="00D61A7A">
              <w:rPr>
                <w:rFonts w:cs="Arial"/>
                <w:b/>
                <w:bCs/>
                <w:color w:val="000000"/>
                <w:sz w:val="16"/>
                <w:szCs w:val="16"/>
              </w:rPr>
              <w:t>UNDS coordination levy</w:t>
            </w:r>
          </w:p>
        </w:tc>
        <w:tc>
          <w:tcPr>
            <w:tcW w:w="7089" w:type="dxa"/>
            <w:gridSpan w:val="6"/>
            <w:shd w:val="clear" w:color="auto" w:fill="auto"/>
            <w:vAlign w:val="center"/>
            <w:hideMark/>
          </w:tcPr>
          <w:p w14:paraId="3FEB0537" w14:textId="77777777" w:rsidR="00230A72" w:rsidRPr="00D61A7A" w:rsidRDefault="00230A72" w:rsidP="00230A72">
            <w:pPr>
              <w:spacing w:after="0"/>
              <w:jc w:val="left"/>
              <w:rPr>
                <w:rFonts w:cs="Arial"/>
                <w:color w:val="000000"/>
                <w:sz w:val="16"/>
                <w:szCs w:val="16"/>
                <w:lang w:val="en-US"/>
              </w:rPr>
            </w:pPr>
            <w:r w:rsidRPr="00D61A7A">
              <w:rPr>
                <w:rFonts w:cs="Arial"/>
                <w:color w:val="000000"/>
                <w:sz w:val="16"/>
                <w:szCs w:val="16"/>
              </w:rPr>
              <w:t>Levy 1%</w:t>
            </w:r>
          </w:p>
        </w:tc>
        <w:tc>
          <w:tcPr>
            <w:tcW w:w="1260" w:type="dxa"/>
            <w:shd w:val="clear" w:color="auto" w:fill="auto"/>
            <w:vAlign w:val="center"/>
            <w:hideMark/>
          </w:tcPr>
          <w:p w14:paraId="3633F3AF" w14:textId="58E1C617" w:rsidR="00230A72" w:rsidRPr="00D61A7A" w:rsidRDefault="00230A72" w:rsidP="00230A72">
            <w:pPr>
              <w:spacing w:after="0"/>
              <w:jc w:val="right"/>
              <w:rPr>
                <w:rFonts w:cs="Arial"/>
                <w:color w:val="000000"/>
                <w:sz w:val="16"/>
                <w:szCs w:val="16"/>
                <w:lang w:val="en-US"/>
              </w:rPr>
            </w:pPr>
            <w:r w:rsidRPr="00D61A7A">
              <w:rPr>
                <w:rFonts w:cs="Arial"/>
                <w:color w:val="000000"/>
                <w:sz w:val="16"/>
                <w:szCs w:val="16"/>
              </w:rPr>
              <w:t>$</w:t>
            </w:r>
            <w:r>
              <w:rPr>
                <w:rFonts w:cs="Arial"/>
                <w:color w:val="000000"/>
                <w:sz w:val="16"/>
                <w:szCs w:val="16"/>
              </w:rPr>
              <w:t>29</w:t>
            </w:r>
            <w:r w:rsidRPr="00D61A7A">
              <w:rPr>
                <w:rFonts w:cs="Arial"/>
                <w:color w:val="000000"/>
                <w:sz w:val="16"/>
                <w:szCs w:val="16"/>
              </w:rPr>
              <w:t>,</w:t>
            </w:r>
            <w:r>
              <w:rPr>
                <w:rFonts w:cs="Arial"/>
                <w:color w:val="000000"/>
                <w:sz w:val="16"/>
                <w:szCs w:val="16"/>
              </w:rPr>
              <w:t>7</w:t>
            </w:r>
            <w:r w:rsidRPr="00D61A7A">
              <w:rPr>
                <w:rFonts w:cs="Arial"/>
                <w:color w:val="000000"/>
                <w:sz w:val="16"/>
                <w:szCs w:val="16"/>
              </w:rPr>
              <w:t>0</w:t>
            </w:r>
            <w:r>
              <w:rPr>
                <w:rFonts w:cs="Arial"/>
                <w:color w:val="000000"/>
                <w:sz w:val="16"/>
                <w:szCs w:val="16"/>
              </w:rPr>
              <w:t>3</w:t>
            </w:r>
            <w:r w:rsidRPr="00D61A7A">
              <w:rPr>
                <w:rFonts w:cs="Arial"/>
                <w:color w:val="000000"/>
                <w:sz w:val="16"/>
                <w:szCs w:val="16"/>
              </w:rPr>
              <w:t>.</w:t>
            </w:r>
            <w:r>
              <w:rPr>
                <w:rFonts w:cs="Arial"/>
                <w:color w:val="000000"/>
                <w:sz w:val="16"/>
                <w:szCs w:val="16"/>
              </w:rPr>
              <w:t>00</w:t>
            </w:r>
            <w:r w:rsidRPr="00D61A7A">
              <w:rPr>
                <w:rFonts w:cs="Arial"/>
                <w:color w:val="000000"/>
                <w:sz w:val="16"/>
                <w:szCs w:val="16"/>
              </w:rPr>
              <w:t xml:space="preserve"> </w:t>
            </w:r>
          </w:p>
        </w:tc>
      </w:tr>
      <w:tr w:rsidR="00230A72" w:rsidRPr="00D61A7A" w14:paraId="407F1526" w14:textId="77777777" w:rsidTr="00F95136">
        <w:tc>
          <w:tcPr>
            <w:tcW w:w="1608" w:type="dxa"/>
            <w:shd w:val="clear" w:color="auto" w:fill="auto"/>
            <w:vAlign w:val="center"/>
            <w:hideMark/>
          </w:tcPr>
          <w:p w14:paraId="7C095DE6" w14:textId="77777777" w:rsidR="00230A72" w:rsidRPr="00D61A7A" w:rsidRDefault="00230A72" w:rsidP="00230A72">
            <w:pPr>
              <w:spacing w:after="0"/>
              <w:jc w:val="left"/>
              <w:rPr>
                <w:rFonts w:cs="Arial"/>
                <w:b/>
                <w:bCs/>
                <w:color w:val="000000"/>
                <w:sz w:val="16"/>
                <w:szCs w:val="16"/>
                <w:lang w:val="en-US"/>
              </w:rPr>
            </w:pPr>
            <w:r w:rsidRPr="00D61A7A">
              <w:rPr>
                <w:rFonts w:cs="Arial"/>
                <w:b/>
                <w:bCs/>
                <w:color w:val="000000"/>
                <w:sz w:val="16"/>
                <w:szCs w:val="16"/>
                <w:lang w:val="en-US"/>
              </w:rPr>
              <w:t>General Management Support</w:t>
            </w:r>
          </w:p>
        </w:tc>
        <w:tc>
          <w:tcPr>
            <w:tcW w:w="7089" w:type="dxa"/>
            <w:gridSpan w:val="6"/>
            <w:shd w:val="clear" w:color="auto" w:fill="auto"/>
            <w:vAlign w:val="center"/>
            <w:hideMark/>
          </w:tcPr>
          <w:p w14:paraId="0E64451C" w14:textId="77777777" w:rsidR="00230A72" w:rsidRPr="00D61A7A" w:rsidRDefault="00230A72" w:rsidP="00230A72">
            <w:pPr>
              <w:spacing w:after="0"/>
              <w:jc w:val="left"/>
              <w:rPr>
                <w:rFonts w:cs="Arial"/>
                <w:color w:val="000000"/>
                <w:sz w:val="16"/>
                <w:szCs w:val="16"/>
                <w:lang w:val="en-US"/>
              </w:rPr>
            </w:pPr>
            <w:r w:rsidRPr="00D61A7A">
              <w:rPr>
                <w:rFonts w:cs="Arial"/>
                <w:color w:val="000000"/>
                <w:sz w:val="16"/>
                <w:szCs w:val="16"/>
                <w:lang w:val="en-US"/>
              </w:rPr>
              <w:t>GMS 8%</w:t>
            </w:r>
          </w:p>
        </w:tc>
        <w:tc>
          <w:tcPr>
            <w:tcW w:w="1260" w:type="dxa"/>
            <w:shd w:val="clear" w:color="auto" w:fill="auto"/>
            <w:vAlign w:val="center"/>
            <w:hideMark/>
          </w:tcPr>
          <w:p w14:paraId="37BBF3A7" w14:textId="70D4CBC8" w:rsidR="00230A72" w:rsidRPr="00D61A7A" w:rsidRDefault="00230A72" w:rsidP="00230A72">
            <w:pPr>
              <w:spacing w:after="0"/>
              <w:jc w:val="right"/>
              <w:rPr>
                <w:rFonts w:cs="Arial"/>
                <w:color w:val="000000"/>
                <w:sz w:val="16"/>
                <w:szCs w:val="16"/>
                <w:lang w:val="en-US"/>
              </w:rPr>
            </w:pPr>
            <w:r>
              <w:rPr>
                <w:rFonts w:cs="Arial"/>
                <w:color w:val="000000"/>
                <w:sz w:val="16"/>
                <w:szCs w:val="16"/>
              </w:rPr>
              <w:t>$</w:t>
            </w:r>
            <w:r w:rsidRPr="00D61A7A">
              <w:rPr>
                <w:rFonts w:cs="Arial"/>
                <w:color w:val="000000"/>
                <w:sz w:val="16"/>
                <w:szCs w:val="16"/>
              </w:rPr>
              <w:t>2</w:t>
            </w:r>
            <w:r>
              <w:rPr>
                <w:rFonts w:cs="Arial"/>
                <w:color w:val="000000"/>
                <w:sz w:val="16"/>
                <w:szCs w:val="16"/>
              </w:rPr>
              <w:t>20</w:t>
            </w:r>
            <w:r w:rsidRPr="00D61A7A">
              <w:rPr>
                <w:rFonts w:cs="Arial"/>
                <w:color w:val="000000"/>
                <w:sz w:val="16"/>
                <w:szCs w:val="16"/>
              </w:rPr>
              <w:t>,</w:t>
            </w:r>
            <w:r>
              <w:rPr>
                <w:rFonts w:cs="Arial"/>
                <w:color w:val="000000"/>
                <w:sz w:val="16"/>
                <w:szCs w:val="16"/>
              </w:rPr>
              <w:t>022</w:t>
            </w:r>
            <w:r w:rsidRPr="00D61A7A">
              <w:rPr>
                <w:rFonts w:cs="Arial"/>
                <w:color w:val="000000"/>
                <w:sz w:val="16"/>
                <w:szCs w:val="16"/>
              </w:rPr>
              <w:t>.</w:t>
            </w:r>
            <w:r>
              <w:rPr>
                <w:rFonts w:cs="Arial"/>
                <w:color w:val="000000"/>
                <w:sz w:val="16"/>
                <w:szCs w:val="16"/>
              </w:rPr>
              <w:t>00</w:t>
            </w:r>
          </w:p>
        </w:tc>
      </w:tr>
      <w:tr w:rsidR="00230A72" w:rsidRPr="00D61A7A" w14:paraId="7A5AC06C" w14:textId="77777777" w:rsidTr="00F95136">
        <w:tc>
          <w:tcPr>
            <w:tcW w:w="1608" w:type="dxa"/>
            <w:shd w:val="clear" w:color="auto" w:fill="AEAAAA" w:themeFill="background2" w:themeFillShade="BF"/>
            <w:vAlign w:val="center"/>
          </w:tcPr>
          <w:p w14:paraId="665B3795" w14:textId="77777777" w:rsidR="00230A72" w:rsidRPr="00D61A7A" w:rsidRDefault="00230A72" w:rsidP="00230A72">
            <w:pPr>
              <w:spacing w:after="0"/>
              <w:jc w:val="left"/>
              <w:rPr>
                <w:rFonts w:cs="Arial"/>
                <w:b/>
                <w:bCs/>
                <w:color w:val="000000"/>
                <w:sz w:val="16"/>
                <w:szCs w:val="16"/>
                <w:lang w:val="en-US"/>
              </w:rPr>
            </w:pPr>
            <w:r>
              <w:rPr>
                <w:rFonts w:cs="Arial"/>
                <w:b/>
                <w:bCs/>
                <w:color w:val="000000"/>
                <w:sz w:val="16"/>
                <w:szCs w:val="16"/>
                <w:lang w:val="en-US"/>
              </w:rPr>
              <w:t>TOTAL</w:t>
            </w:r>
          </w:p>
        </w:tc>
        <w:tc>
          <w:tcPr>
            <w:tcW w:w="7089" w:type="dxa"/>
            <w:gridSpan w:val="6"/>
            <w:shd w:val="clear" w:color="auto" w:fill="AEAAAA" w:themeFill="background2" w:themeFillShade="BF"/>
            <w:vAlign w:val="center"/>
          </w:tcPr>
          <w:p w14:paraId="547034BB" w14:textId="77777777" w:rsidR="00230A72" w:rsidRPr="00D61A7A" w:rsidRDefault="00230A72" w:rsidP="00230A72">
            <w:pPr>
              <w:spacing w:after="0"/>
              <w:jc w:val="left"/>
              <w:rPr>
                <w:rFonts w:cs="Arial"/>
                <w:color w:val="000000"/>
                <w:sz w:val="16"/>
                <w:szCs w:val="16"/>
                <w:lang w:val="en-US"/>
              </w:rPr>
            </w:pPr>
          </w:p>
        </w:tc>
        <w:tc>
          <w:tcPr>
            <w:tcW w:w="1260" w:type="dxa"/>
            <w:shd w:val="clear" w:color="auto" w:fill="AEAAAA" w:themeFill="background2" w:themeFillShade="BF"/>
            <w:vAlign w:val="center"/>
          </w:tcPr>
          <w:p w14:paraId="6FA3CF75" w14:textId="28FAA8EC" w:rsidR="00230A72" w:rsidRPr="00494774" w:rsidRDefault="00230A72" w:rsidP="00230A72">
            <w:pPr>
              <w:spacing w:after="0"/>
              <w:jc w:val="right"/>
              <w:rPr>
                <w:rFonts w:cs="Arial"/>
                <w:b/>
                <w:bCs/>
                <w:color w:val="000000"/>
                <w:sz w:val="16"/>
                <w:szCs w:val="16"/>
              </w:rPr>
            </w:pPr>
            <w:r w:rsidRPr="00494774">
              <w:rPr>
                <w:rFonts w:cs="Arial"/>
                <w:b/>
                <w:bCs/>
                <w:color w:val="000000"/>
                <w:sz w:val="16"/>
                <w:szCs w:val="16"/>
              </w:rPr>
              <w:t>$3,</w:t>
            </w:r>
            <w:r>
              <w:rPr>
                <w:rFonts w:cs="Arial"/>
                <w:b/>
                <w:bCs/>
                <w:color w:val="000000"/>
                <w:sz w:val="16"/>
                <w:szCs w:val="16"/>
              </w:rPr>
              <w:t>000,000</w:t>
            </w:r>
            <w:r w:rsidRPr="00494774">
              <w:rPr>
                <w:rFonts w:cs="Arial"/>
                <w:b/>
                <w:bCs/>
                <w:color w:val="000000"/>
                <w:sz w:val="16"/>
                <w:szCs w:val="16"/>
              </w:rPr>
              <w:t>.00</w:t>
            </w:r>
          </w:p>
        </w:tc>
      </w:tr>
    </w:tbl>
    <w:p w14:paraId="0694F86F" w14:textId="77777777" w:rsidR="00D61A7A" w:rsidRDefault="00D61A7A" w:rsidP="001C2D1D">
      <w:pPr>
        <w:rPr>
          <w:rFonts w:ascii="Calibri" w:hAnsi="Calibri"/>
          <w:iCs/>
        </w:rPr>
      </w:pPr>
    </w:p>
    <w:p w14:paraId="1C0B5DEB" w14:textId="77777777" w:rsidR="001C2D1D" w:rsidRDefault="001C2D1D" w:rsidP="001C2D1D">
      <w:pPr>
        <w:pStyle w:val="Heading1"/>
        <w:numPr>
          <w:ilvl w:val="0"/>
          <w:numId w:val="0"/>
        </w:numPr>
        <w:ind w:left="720"/>
      </w:pPr>
    </w:p>
    <w:p w14:paraId="7B1EBE8F" w14:textId="77777777" w:rsidR="00494774" w:rsidRDefault="00494774" w:rsidP="00494774"/>
    <w:p w14:paraId="65816B02" w14:textId="77777777" w:rsidR="00494774" w:rsidRDefault="00494774" w:rsidP="00494774"/>
    <w:p w14:paraId="30F31DB2" w14:textId="5C6ACA13" w:rsidR="00494774" w:rsidRDefault="00494774" w:rsidP="00494774"/>
    <w:p w14:paraId="07D7108D" w14:textId="60A295F0" w:rsidR="001A07B5" w:rsidRDefault="001A07B5" w:rsidP="00494774"/>
    <w:p w14:paraId="585EF22D" w14:textId="4D7D87F5" w:rsidR="001A07B5" w:rsidRDefault="001A07B5" w:rsidP="00494774"/>
    <w:p w14:paraId="63D59326" w14:textId="137B0E25" w:rsidR="001A07B5" w:rsidRDefault="001A07B5" w:rsidP="00494774"/>
    <w:p w14:paraId="72DA6626" w14:textId="3F8DAF4C" w:rsidR="001A07B5" w:rsidRDefault="001A07B5" w:rsidP="00494774"/>
    <w:p w14:paraId="398ADB3D" w14:textId="1F098AD4" w:rsidR="001A07B5" w:rsidRDefault="001A07B5" w:rsidP="00494774"/>
    <w:p w14:paraId="4C1FAE6C" w14:textId="7673430B" w:rsidR="001A07B5" w:rsidRDefault="001A07B5" w:rsidP="00494774"/>
    <w:p w14:paraId="3EDFE6B8" w14:textId="77777777" w:rsidR="001A07B5" w:rsidRDefault="001A07B5" w:rsidP="00494774"/>
    <w:p w14:paraId="79C6F3B4" w14:textId="77777777" w:rsidR="00494774" w:rsidRDefault="00494774" w:rsidP="00494774"/>
    <w:p w14:paraId="52C40090" w14:textId="77777777" w:rsidR="008F1069" w:rsidRPr="0086371F" w:rsidRDefault="00962E7C" w:rsidP="008F1069">
      <w:pPr>
        <w:pStyle w:val="Heading1"/>
      </w:pPr>
      <w:r>
        <w:lastRenderedPageBreak/>
        <w:t xml:space="preserve">Governance and </w:t>
      </w:r>
      <w:r w:rsidR="008F1069" w:rsidRPr="0086371F">
        <w:t>Management Arrangements</w:t>
      </w:r>
    </w:p>
    <w:p w14:paraId="445682FB" w14:textId="77777777" w:rsidR="00796369" w:rsidRDefault="00796369" w:rsidP="00796369">
      <w:r>
        <w:t>This Project will be implemented by UNDP through the direct implementation modality (DIM), and UNDP will act as the executing and implementing agency. The project will be implemented in close cooperation with different partners, to mobilize their varying policy-making, decision-making, consultation, community mobilization, resource mobilization, implementation, monitoring, supervision, lobbying, policy influence capacities and/or mandates.</w:t>
      </w:r>
    </w:p>
    <w:p w14:paraId="45EBBBE3" w14:textId="77777777" w:rsidR="00796369" w:rsidRDefault="00796369" w:rsidP="00F1229E"/>
    <w:p w14:paraId="7F93D219" w14:textId="77777777" w:rsidR="00E15CFB" w:rsidRPr="00BB4299" w:rsidRDefault="00E15CFB" w:rsidP="00E15CFB">
      <w:r>
        <w:t xml:space="preserve">To facilitate management monitoring and reporting of </w:t>
      </w:r>
      <w:r w:rsidRPr="00BB4299">
        <w:t xml:space="preserve">the project, the management arrangements </w:t>
      </w:r>
      <w:r w:rsidR="002461E1" w:rsidRPr="00BB4299">
        <w:t>will be</w:t>
      </w:r>
      <w:r w:rsidRPr="00BB4299">
        <w:t xml:space="preserve"> as follows</w:t>
      </w:r>
    </w:p>
    <w:p w14:paraId="64EFF2BB" w14:textId="77777777" w:rsidR="002461E1" w:rsidRPr="00BB4299" w:rsidRDefault="002461E1" w:rsidP="00E15CFB"/>
    <w:p w14:paraId="643FCE44" w14:textId="77777777" w:rsidR="00E15CFB" w:rsidRPr="00BB4299" w:rsidRDefault="00E15CFB" w:rsidP="00E15CFB">
      <w:r w:rsidRPr="00BB4299">
        <w:rPr>
          <w:b/>
          <w:bCs/>
        </w:rPr>
        <w:t>Project Board/Steering Committee</w:t>
      </w:r>
      <w:r w:rsidRPr="00BB4299">
        <w:t xml:space="preserve"> </w:t>
      </w:r>
      <w:r w:rsidR="002461E1" w:rsidRPr="00BB4299">
        <w:t xml:space="preserve">will be </w:t>
      </w:r>
      <w:r w:rsidRPr="00BB4299">
        <w:t>co-chaired by the</w:t>
      </w:r>
      <w:r w:rsidR="002461E1" w:rsidRPr="00BB4299">
        <w:t xml:space="preserve"> Government</w:t>
      </w:r>
      <w:r w:rsidRPr="00BB4299">
        <w:t xml:space="preserve"> </w:t>
      </w:r>
      <w:r w:rsidR="00BB4299" w:rsidRPr="00BB4299">
        <w:t xml:space="preserve">of Jordan </w:t>
      </w:r>
      <w:r w:rsidRPr="00BB4299">
        <w:t>and UNDP, with representation from participating donors (Japa</w:t>
      </w:r>
      <w:r w:rsidR="00D92EF5" w:rsidRPr="00BB4299">
        <w:t>n</w:t>
      </w:r>
      <w:r w:rsidR="002461E1" w:rsidRPr="00BB4299">
        <w:t xml:space="preserve"> </w:t>
      </w:r>
      <w:r w:rsidRPr="00BB4299">
        <w:t xml:space="preserve">and other donors contributing to the overall Programme). The Board/Steering Committee </w:t>
      </w:r>
      <w:r w:rsidR="002461E1" w:rsidRPr="00BB4299">
        <w:t xml:space="preserve">will </w:t>
      </w:r>
      <w:r w:rsidRPr="00BB4299">
        <w:t>provide overall direction and strategic guidance, monitors progress, and approves work plans and agrees to management actions to address specific risks raised by the UNDP. The Board/Steering Committee also approves geographical coverage and beneficiary selection criteria, review and adopt the implementation modality. The board shall be convened on semi-annual basis or as required.</w:t>
      </w:r>
    </w:p>
    <w:p w14:paraId="7ED8FAD7" w14:textId="77777777" w:rsidR="002461E1" w:rsidRPr="00BB4299" w:rsidRDefault="002461E1" w:rsidP="00E15CFB"/>
    <w:p w14:paraId="651BF8C6" w14:textId="77777777" w:rsidR="00E15CFB" w:rsidRPr="00BB4299" w:rsidRDefault="00E15CFB" w:rsidP="00E15CFB">
      <w:r w:rsidRPr="00BB4299">
        <w:rPr>
          <w:b/>
          <w:bCs/>
        </w:rPr>
        <w:t>The project assurance functions</w:t>
      </w:r>
      <w:r w:rsidRPr="00BB4299">
        <w:t xml:space="preserve"> rests with the </w:t>
      </w:r>
      <w:r w:rsidR="002461E1" w:rsidRPr="00BB4299">
        <w:t>project management team</w:t>
      </w:r>
      <w:r w:rsidRPr="00BB4299">
        <w:t xml:space="preserve"> to follow up on management actions, keeping track of progress benchmarks, perform regular monitoring activities, ensuring funds are made available to the project towards the intended outputs and resources entrusted to UNDP are utilized appropriately.</w:t>
      </w:r>
    </w:p>
    <w:p w14:paraId="7D23A8B4" w14:textId="77777777" w:rsidR="006A328D" w:rsidRPr="00BB4299" w:rsidRDefault="006A328D" w:rsidP="00E15CFB"/>
    <w:p w14:paraId="5C0C0D5B" w14:textId="77777777" w:rsidR="006A328D" w:rsidRDefault="00201B49" w:rsidP="00E15CFB">
      <w:r w:rsidRPr="00BB4299">
        <w:t xml:space="preserve">In close collaboration with </w:t>
      </w:r>
      <w:r w:rsidR="00BB4299" w:rsidRPr="00BB4299">
        <w:t xml:space="preserve">Central </w:t>
      </w:r>
      <w:r w:rsidRPr="00BB4299">
        <w:t>Team of UNDP Jordan,</w:t>
      </w:r>
      <w:r w:rsidRPr="00BB4299">
        <w:rPr>
          <w:b/>
          <w:bCs/>
        </w:rPr>
        <w:t xml:space="preserve"> m</w:t>
      </w:r>
      <w:r w:rsidR="006A328D" w:rsidRPr="00BB4299">
        <w:rPr>
          <w:b/>
          <w:bCs/>
        </w:rPr>
        <w:t>onitoring and evaluation</w:t>
      </w:r>
      <w:r w:rsidR="006A328D" w:rsidRPr="00BB4299">
        <w:t xml:space="preserve"> </w:t>
      </w:r>
      <w:r w:rsidRPr="00BB4299">
        <w:t xml:space="preserve">of project activities and results </w:t>
      </w:r>
      <w:r w:rsidR="006A328D" w:rsidRPr="00BB4299">
        <w:t xml:space="preserve">will be undertaken </w:t>
      </w:r>
      <w:r w:rsidRPr="00BB4299">
        <w:t xml:space="preserve">regularly </w:t>
      </w:r>
      <w:r w:rsidR="006A328D" w:rsidRPr="00BB4299">
        <w:t xml:space="preserve">by </w:t>
      </w:r>
      <w:r w:rsidRPr="00BB4299">
        <w:t>the project team.</w:t>
      </w:r>
    </w:p>
    <w:p w14:paraId="55694196" w14:textId="77777777" w:rsidR="00E15CFB" w:rsidRDefault="00E15CFB" w:rsidP="00F1229E"/>
    <w:p w14:paraId="4205F60D" w14:textId="62EADBBB" w:rsidR="00955924" w:rsidRDefault="002A4135" w:rsidP="008F1069">
      <w:r>
        <w:rPr>
          <w:noProof/>
          <w:lang w:val="en-US"/>
        </w:rPr>
        <mc:AlternateContent>
          <mc:Choice Requires="wps">
            <w:drawing>
              <wp:anchor distT="0" distB="0" distL="114300" distR="114300" simplePos="0" relativeHeight="251658240" behindDoc="0" locked="0" layoutInCell="1" allowOverlap="1" wp14:anchorId="361F9FA0" wp14:editId="7C518896">
                <wp:simplePos x="0" y="0"/>
                <wp:positionH relativeFrom="column">
                  <wp:posOffset>621030</wp:posOffset>
                </wp:positionH>
                <wp:positionV relativeFrom="paragraph">
                  <wp:posOffset>127635</wp:posOffset>
                </wp:positionV>
                <wp:extent cx="4600575" cy="314325"/>
                <wp:effectExtent l="9525" t="7620" r="9525" b="1143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solidFill>
                            <a:srgbClr val="000000"/>
                          </a:solidFill>
                          <a:prstDash val="dash"/>
                          <a:miter lim="800000"/>
                          <a:headEnd/>
                          <a:tailEnd/>
                        </a:ln>
                      </wps:spPr>
                      <wps:txbx>
                        <w:txbxContent>
                          <w:p w14:paraId="602384A8" w14:textId="77777777" w:rsidR="00230A72" w:rsidRPr="003F0B87" w:rsidRDefault="00230A72" w:rsidP="003F0B87">
                            <w:pPr>
                              <w:jc w:val="center"/>
                              <w:rPr>
                                <w:b/>
                                <w:sz w:val="28"/>
                                <w:szCs w:val="28"/>
                              </w:rPr>
                            </w:pPr>
                            <w:r w:rsidRPr="003F0B87">
                              <w:rPr>
                                <w:b/>
                                <w:sz w:val="28"/>
                                <w:szCs w:val="28"/>
                              </w:rPr>
                              <w:t>Project Organisation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F9FA0" id="Text Box 20" o:spid="_x0000_s1027" type="#_x0000_t202" style="position:absolute;left:0;text-align:left;margin-left:48.9pt;margin-top:10.05pt;width:36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">
                <v:stroke dashstyle="dash"/>
                <v:textbox>
                  <w:txbxContent>
                    <w:p w14:paraId="602384A8" w14:textId="77777777" w:rsidR="00230A72" w:rsidRPr="003F0B87" w:rsidRDefault="00230A72" w:rsidP="003F0B87">
                      <w:pPr>
                        <w:jc w:val="center"/>
                        <w:rPr>
                          <w:b/>
                          <w:sz w:val="28"/>
                          <w:szCs w:val="28"/>
                        </w:rPr>
                      </w:pPr>
                      <w:r w:rsidRPr="003F0B87">
                        <w:rPr>
                          <w:b/>
                          <w:sz w:val="28"/>
                          <w:szCs w:val="28"/>
                        </w:rPr>
                        <w:t>Project Organisation Structure</w:t>
                      </w:r>
                    </w:p>
                  </w:txbxContent>
                </v:textbox>
              </v:shape>
            </w:pict>
          </mc:Fallback>
        </mc:AlternateContent>
      </w:r>
    </w:p>
    <w:p w14:paraId="79BD3366" w14:textId="4B0F27C6" w:rsidR="003F0B87" w:rsidRDefault="002A4135" w:rsidP="008F1069">
      <w:r>
        <w:rPr>
          <w:noProof/>
          <w:lang w:val="en-US"/>
        </w:rPr>
        <mc:AlternateContent>
          <mc:Choice Requires="wps">
            <w:drawing>
              <wp:anchor distT="0" distB="0" distL="114300" distR="114300" simplePos="0" relativeHeight="251658241" behindDoc="0" locked="0" layoutInCell="1" allowOverlap="1" wp14:anchorId="763B8487" wp14:editId="6D943B1B">
                <wp:simplePos x="0" y="0"/>
                <wp:positionH relativeFrom="column">
                  <wp:posOffset>611505</wp:posOffset>
                </wp:positionH>
                <wp:positionV relativeFrom="paragraph">
                  <wp:posOffset>262255</wp:posOffset>
                </wp:positionV>
                <wp:extent cx="4600575" cy="762000"/>
                <wp:effectExtent l="9525" t="7620" r="9525" b="1143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762000"/>
                        </a:xfrm>
                        <a:prstGeom prst="rect">
                          <a:avLst/>
                        </a:prstGeom>
                        <a:solidFill>
                          <a:srgbClr val="FFFFFF"/>
                        </a:solidFill>
                        <a:ln w="9525">
                          <a:solidFill>
                            <a:srgbClr val="000000"/>
                          </a:solidFill>
                          <a:miter lim="800000"/>
                          <a:headEnd/>
                          <a:tailEnd/>
                        </a:ln>
                      </wps:spPr>
                      <wps:txbx>
                        <w:txbxContent>
                          <w:p w14:paraId="4E5E417E" w14:textId="77777777" w:rsidR="00230A72" w:rsidRDefault="00230A72" w:rsidP="00591989">
                            <w:pPr>
                              <w:jc w:val="center"/>
                              <w:rPr>
                                <w:b/>
                                <w:sz w:val="24"/>
                              </w:rPr>
                            </w:pPr>
                            <w:r w:rsidRPr="000868AE">
                              <w:rPr>
                                <w:b/>
                                <w:sz w:val="24"/>
                              </w:rPr>
                              <w:t xml:space="preserve">Project </w:t>
                            </w:r>
                            <w:r>
                              <w:rPr>
                                <w:b/>
                                <w:sz w:val="24"/>
                              </w:rPr>
                              <w:t xml:space="preserve">Board </w:t>
                            </w:r>
                          </w:p>
                          <w:p w14:paraId="110359D1" w14:textId="77777777" w:rsidR="00230A72" w:rsidRPr="000868AE" w:rsidRDefault="00230A72" w:rsidP="00591989">
                            <w:pPr>
                              <w:jc w:val="center"/>
                              <w:rPr>
                                <w:b/>
                                <w:sz w:val="24"/>
                              </w:rPr>
                            </w:pPr>
                            <w:r>
                              <w:rPr>
                                <w:b/>
                                <w:sz w:val="18"/>
                                <w:szCs w:val="18"/>
                              </w:rPr>
                              <w:t xml:space="preserve">PVE Unit (office of the Prime Minister), </w:t>
                            </w:r>
                            <w:r w:rsidRPr="00AE6485">
                              <w:rPr>
                                <w:b/>
                                <w:sz w:val="18"/>
                                <w:szCs w:val="18"/>
                              </w:rPr>
                              <w:t xml:space="preserve">MoPIC, </w:t>
                            </w:r>
                            <w:r>
                              <w:rPr>
                                <w:b/>
                                <w:sz w:val="18"/>
                                <w:szCs w:val="18"/>
                              </w:rPr>
                              <w:t>MoC, Embassy of Japan, UNDP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8487" id="Text Box 19" o:spid="_x0000_s1028" type="#_x0000_t202" style="position:absolute;left:0;text-align:left;margin-left:48.15pt;margin-top:20.65pt;width:362.25pt;height:6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">
                <v:textbox>
                  <w:txbxContent>
                    <w:p w14:paraId="4E5E417E" w14:textId="77777777" w:rsidR="00230A72" w:rsidRDefault="00230A72" w:rsidP="00591989">
                      <w:pPr>
                        <w:jc w:val="center"/>
                        <w:rPr>
                          <w:b/>
                          <w:sz w:val="24"/>
                        </w:rPr>
                      </w:pPr>
                      <w:r w:rsidRPr="000868AE">
                        <w:rPr>
                          <w:b/>
                          <w:sz w:val="24"/>
                        </w:rPr>
                        <w:t xml:space="preserve">Project </w:t>
                      </w:r>
                      <w:r>
                        <w:rPr>
                          <w:b/>
                          <w:sz w:val="24"/>
                        </w:rPr>
                        <w:t xml:space="preserve">Board </w:t>
                      </w:r>
                    </w:p>
                    <w:p w14:paraId="110359D1" w14:textId="77777777" w:rsidR="00230A72" w:rsidRPr="000868AE" w:rsidRDefault="00230A72" w:rsidP="00591989">
                      <w:pPr>
                        <w:jc w:val="center"/>
                        <w:rPr>
                          <w:b/>
                          <w:sz w:val="24"/>
                        </w:rPr>
                      </w:pPr>
                      <w:r>
                        <w:rPr>
                          <w:b/>
                          <w:sz w:val="18"/>
                          <w:szCs w:val="18"/>
                        </w:rPr>
                        <w:t xml:space="preserve">PVE Unit (office of the Prime Minister), </w:t>
                      </w:r>
                      <w:r w:rsidRPr="00AE6485">
                        <w:rPr>
                          <w:b/>
                          <w:sz w:val="18"/>
                          <w:szCs w:val="18"/>
                        </w:rPr>
                        <w:t xml:space="preserve">MoPIC, </w:t>
                      </w:r>
                      <w:r>
                        <w:rPr>
                          <w:b/>
                          <w:sz w:val="18"/>
                          <w:szCs w:val="18"/>
                        </w:rPr>
                        <w:t>MoC, Embassy of Japan, UNDP</w:t>
                      </w:r>
                    </w:p>
                  </w:txbxContent>
                </v:textbox>
              </v:shape>
            </w:pict>
          </mc:Fallback>
        </mc:AlternateContent>
      </w:r>
      <w:r>
        <w:rPr>
          <w:noProof/>
          <w:lang w:val="en-US"/>
        </w:rPr>
        <mc:AlternateContent>
          <mc:Choice Requires="wps">
            <w:drawing>
              <wp:anchor distT="0" distB="0" distL="114300" distR="114300" simplePos="0" relativeHeight="251658242" behindDoc="0" locked="0" layoutInCell="1" allowOverlap="1" wp14:anchorId="64583337" wp14:editId="5088DEB9">
                <wp:simplePos x="0" y="0"/>
                <wp:positionH relativeFrom="column">
                  <wp:posOffset>611505</wp:posOffset>
                </wp:positionH>
                <wp:positionV relativeFrom="paragraph">
                  <wp:posOffset>814705</wp:posOffset>
                </wp:positionV>
                <wp:extent cx="1524000" cy="628650"/>
                <wp:effectExtent l="9525" t="7620" r="9525" b="114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solidFill>
                            <a:srgbClr val="000000"/>
                          </a:solidFill>
                          <a:miter lim="800000"/>
                          <a:headEnd/>
                          <a:tailEnd/>
                        </a:ln>
                      </wps:spPr>
                      <wps:txbx>
                        <w:txbxContent>
                          <w:p w14:paraId="3C6AA765" w14:textId="77777777" w:rsidR="00230A72" w:rsidRPr="003D0562" w:rsidRDefault="00230A72" w:rsidP="00591989">
                            <w:pPr>
                              <w:jc w:val="center"/>
                              <w:rPr>
                                <w:b/>
                                <w:sz w:val="23"/>
                                <w:szCs w:val="23"/>
                              </w:rPr>
                            </w:pPr>
                            <w:r w:rsidRPr="003D0562">
                              <w:rPr>
                                <w:b/>
                                <w:sz w:val="23"/>
                                <w:szCs w:val="23"/>
                              </w:rPr>
                              <w:t>Senior Beneficiary</w:t>
                            </w:r>
                          </w:p>
                          <w:p w14:paraId="62A4A1E9" w14:textId="77777777" w:rsidR="00230A72" w:rsidRPr="00AE6485" w:rsidRDefault="00230A72" w:rsidP="00591989">
                            <w:pPr>
                              <w:jc w:val="center"/>
                              <w:rPr>
                                <w:bCs/>
                                <w:sz w:val="18"/>
                                <w:szCs w:val="18"/>
                              </w:rPr>
                            </w:pPr>
                            <w:r>
                              <w:rPr>
                                <w:bCs/>
                                <w:sz w:val="18"/>
                                <w:szCs w:val="18"/>
                              </w:rPr>
                              <w:t>PVE Unit (office of the Prime Ministry), MoC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83337" id="Text Box 18" o:spid="_x0000_s1029" type="#_x0000_t202" style="position:absolute;left:0;text-align:left;margin-left:48.15pt;margin-top:64.15pt;width:120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">
                <v:textbox>
                  <w:txbxContent>
                    <w:p w14:paraId="3C6AA765" w14:textId="77777777" w:rsidR="00230A72" w:rsidRPr="003D0562" w:rsidRDefault="00230A72" w:rsidP="00591989">
                      <w:pPr>
                        <w:jc w:val="center"/>
                        <w:rPr>
                          <w:b/>
                          <w:sz w:val="23"/>
                          <w:szCs w:val="23"/>
                        </w:rPr>
                      </w:pPr>
                      <w:r w:rsidRPr="003D0562">
                        <w:rPr>
                          <w:b/>
                          <w:sz w:val="23"/>
                          <w:szCs w:val="23"/>
                        </w:rPr>
                        <w:t>Senior Beneficiary</w:t>
                      </w:r>
                    </w:p>
                    <w:p w14:paraId="62A4A1E9" w14:textId="77777777" w:rsidR="00230A72" w:rsidRPr="00AE6485" w:rsidRDefault="00230A72" w:rsidP="00591989">
                      <w:pPr>
                        <w:jc w:val="center"/>
                        <w:rPr>
                          <w:bCs/>
                          <w:sz w:val="18"/>
                          <w:szCs w:val="18"/>
                        </w:rPr>
                      </w:pPr>
                      <w:r>
                        <w:rPr>
                          <w:bCs/>
                          <w:sz w:val="18"/>
                          <w:szCs w:val="18"/>
                        </w:rPr>
                        <w:t>PVE Unit (office of the Prime Ministry), MoC</w:t>
                      </w:r>
                    </w:p>
                  </w:txbxContent>
                </v:textbox>
              </v:shape>
            </w:pict>
          </mc:Fallback>
        </mc:AlternateContent>
      </w:r>
      <w:r>
        <w:rPr>
          <w:noProof/>
          <w:lang w:val="en-US"/>
        </w:rPr>
        <mc:AlternateContent>
          <mc:Choice Requires="wps">
            <w:drawing>
              <wp:anchor distT="0" distB="0" distL="114300" distR="114300" simplePos="0" relativeHeight="251658244" behindDoc="0" locked="0" layoutInCell="1" allowOverlap="1" wp14:anchorId="26B1AEB5" wp14:editId="34270AB7">
                <wp:simplePos x="0" y="0"/>
                <wp:positionH relativeFrom="column">
                  <wp:posOffset>3678555</wp:posOffset>
                </wp:positionH>
                <wp:positionV relativeFrom="paragraph">
                  <wp:posOffset>814705</wp:posOffset>
                </wp:positionV>
                <wp:extent cx="1533525" cy="628650"/>
                <wp:effectExtent l="9525" t="7620" r="9525" b="1143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14:paraId="30A278DB" w14:textId="77777777" w:rsidR="00230A72" w:rsidRPr="003D0562" w:rsidRDefault="00230A72" w:rsidP="003D0562">
                            <w:pPr>
                              <w:jc w:val="center"/>
                              <w:rPr>
                                <w:b/>
                                <w:sz w:val="23"/>
                                <w:szCs w:val="23"/>
                              </w:rPr>
                            </w:pPr>
                            <w:r w:rsidRPr="003D0562">
                              <w:rPr>
                                <w:b/>
                                <w:sz w:val="23"/>
                                <w:szCs w:val="23"/>
                              </w:rPr>
                              <w:t xml:space="preserve">Senior </w:t>
                            </w:r>
                            <w:r>
                              <w:rPr>
                                <w:b/>
                                <w:sz w:val="23"/>
                                <w:szCs w:val="23"/>
                              </w:rPr>
                              <w:t>Supplier</w:t>
                            </w:r>
                          </w:p>
                          <w:p w14:paraId="6403420C" w14:textId="77777777" w:rsidR="00230A72" w:rsidRPr="00AE6485" w:rsidRDefault="00230A72" w:rsidP="003D0562">
                            <w:pPr>
                              <w:jc w:val="center"/>
                              <w:rPr>
                                <w:bCs/>
                                <w:sz w:val="18"/>
                                <w:szCs w:val="18"/>
                              </w:rPr>
                            </w:pPr>
                            <w:r>
                              <w:rPr>
                                <w:bCs/>
                                <w:sz w:val="18"/>
                                <w:szCs w:val="18"/>
                              </w:rPr>
                              <w:t>Japan</w:t>
                            </w:r>
                          </w:p>
                          <w:p w14:paraId="6C09B40D" w14:textId="77777777" w:rsidR="00230A72" w:rsidRPr="003F0B87" w:rsidRDefault="00230A72" w:rsidP="003D056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AEB5" id="Text Box 17" o:spid="_x0000_s1030" type="#_x0000_t202" style="position:absolute;left:0;text-align:left;margin-left:289.65pt;margin-top:64.15pt;width:120.7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">
                <v:textbox>
                  <w:txbxContent>
                    <w:p w14:paraId="30A278DB" w14:textId="77777777" w:rsidR="00230A72" w:rsidRPr="003D0562" w:rsidRDefault="00230A72" w:rsidP="003D0562">
                      <w:pPr>
                        <w:jc w:val="center"/>
                        <w:rPr>
                          <w:b/>
                          <w:sz w:val="23"/>
                          <w:szCs w:val="23"/>
                        </w:rPr>
                      </w:pPr>
                      <w:r w:rsidRPr="003D0562">
                        <w:rPr>
                          <w:b/>
                          <w:sz w:val="23"/>
                          <w:szCs w:val="23"/>
                        </w:rPr>
                        <w:t xml:space="preserve">Senior </w:t>
                      </w:r>
                      <w:r>
                        <w:rPr>
                          <w:b/>
                          <w:sz w:val="23"/>
                          <w:szCs w:val="23"/>
                        </w:rPr>
                        <w:t>Supplier</w:t>
                      </w:r>
                    </w:p>
                    <w:p w14:paraId="6403420C" w14:textId="77777777" w:rsidR="00230A72" w:rsidRPr="00AE6485" w:rsidRDefault="00230A72" w:rsidP="003D0562">
                      <w:pPr>
                        <w:jc w:val="center"/>
                        <w:rPr>
                          <w:bCs/>
                          <w:sz w:val="18"/>
                          <w:szCs w:val="18"/>
                        </w:rPr>
                      </w:pPr>
                      <w:r>
                        <w:rPr>
                          <w:bCs/>
                          <w:sz w:val="18"/>
                          <w:szCs w:val="18"/>
                        </w:rPr>
                        <w:t>Japan</w:t>
                      </w:r>
                    </w:p>
                    <w:p w14:paraId="6C09B40D" w14:textId="77777777" w:rsidR="00230A72" w:rsidRPr="003F0B87" w:rsidRDefault="00230A72" w:rsidP="003D0562">
                      <w:pPr>
                        <w:jc w:val="center"/>
                        <w:rPr>
                          <w:b/>
                          <w:sz w:val="28"/>
                          <w:szCs w:val="28"/>
                        </w:rPr>
                      </w:pPr>
                    </w:p>
                  </w:txbxContent>
                </v:textbox>
              </v:shape>
            </w:pict>
          </mc:Fallback>
        </mc:AlternateContent>
      </w:r>
      <w:r>
        <w:rPr>
          <w:noProof/>
          <w:lang w:val="en-US"/>
        </w:rPr>
        <mc:AlternateContent>
          <mc:Choice Requires="wps">
            <w:drawing>
              <wp:anchor distT="0" distB="0" distL="114300" distR="114300" simplePos="0" relativeHeight="251658243" behindDoc="0" locked="0" layoutInCell="1" allowOverlap="1" wp14:anchorId="0988148C" wp14:editId="53E1E766">
                <wp:simplePos x="0" y="0"/>
                <wp:positionH relativeFrom="column">
                  <wp:posOffset>2135505</wp:posOffset>
                </wp:positionH>
                <wp:positionV relativeFrom="paragraph">
                  <wp:posOffset>814705</wp:posOffset>
                </wp:positionV>
                <wp:extent cx="1543050" cy="628650"/>
                <wp:effectExtent l="9525" t="7620" r="9525" b="1143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solidFill>
                            <a:srgbClr val="000000"/>
                          </a:solidFill>
                          <a:miter lim="800000"/>
                          <a:headEnd/>
                          <a:tailEnd/>
                        </a:ln>
                      </wps:spPr>
                      <wps:txbx>
                        <w:txbxContent>
                          <w:p w14:paraId="70999904" w14:textId="77777777" w:rsidR="00230A72" w:rsidRPr="003D0562" w:rsidRDefault="00230A72" w:rsidP="003D0562">
                            <w:pPr>
                              <w:jc w:val="center"/>
                              <w:rPr>
                                <w:b/>
                                <w:sz w:val="23"/>
                                <w:szCs w:val="23"/>
                              </w:rPr>
                            </w:pPr>
                            <w:r>
                              <w:rPr>
                                <w:b/>
                                <w:sz w:val="23"/>
                                <w:szCs w:val="23"/>
                              </w:rPr>
                              <w:t>Executive</w:t>
                            </w:r>
                          </w:p>
                          <w:p w14:paraId="4F901A33" w14:textId="77777777" w:rsidR="00230A72" w:rsidRPr="00AE6485" w:rsidRDefault="00230A72" w:rsidP="00BA2140">
                            <w:pPr>
                              <w:jc w:val="center"/>
                              <w:rPr>
                                <w:bCs/>
                                <w:sz w:val="18"/>
                                <w:szCs w:val="18"/>
                              </w:rPr>
                            </w:pPr>
                            <w:r>
                              <w:rPr>
                                <w:bCs/>
                                <w:sz w:val="18"/>
                                <w:szCs w:val="18"/>
                              </w:rPr>
                              <w:t>MoPIC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148C" id="Text Box 16" o:spid="_x0000_s1031" type="#_x0000_t202" style="position:absolute;left:0;text-align:left;margin-left:168.15pt;margin-top:64.15pt;width:121.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ZqLAIAAFk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">
                <v:textbox>
                  <w:txbxContent>
                    <w:p w14:paraId="70999904" w14:textId="77777777" w:rsidR="00230A72" w:rsidRPr="003D0562" w:rsidRDefault="00230A72" w:rsidP="003D0562">
                      <w:pPr>
                        <w:jc w:val="center"/>
                        <w:rPr>
                          <w:b/>
                          <w:sz w:val="23"/>
                          <w:szCs w:val="23"/>
                        </w:rPr>
                      </w:pPr>
                      <w:r>
                        <w:rPr>
                          <w:b/>
                          <w:sz w:val="23"/>
                          <w:szCs w:val="23"/>
                        </w:rPr>
                        <w:t>Executive</w:t>
                      </w:r>
                    </w:p>
                    <w:p w14:paraId="4F901A33" w14:textId="77777777" w:rsidR="00230A72" w:rsidRPr="00AE6485" w:rsidRDefault="00230A72" w:rsidP="00BA2140">
                      <w:pPr>
                        <w:jc w:val="center"/>
                        <w:rPr>
                          <w:bCs/>
                          <w:sz w:val="18"/>
                          <w:szCs w:val="18"/>
                        </w:rPr>
                      </w:pPr>
                      <w:r>
                        <w:rPr>
                          <w:bCs/>
                          <w:sz w:val="18"/>
                          <w:szCs w:val="18"/>
                        </w:rPr>
                        <w:t>MoPIC</w:t>
                      </w:r>
                    </w:p>
                  </w:txbxContent>
                </v:textbox>
              </v:shape>
            </w:pict>
          </mc:Fallback>
        </mc:AlternateContent>
      </w:r>
    </w:p>
    <w:p w14:paraId="6A69D8B9" w14:textId="77777777" w:rsidR="003F0B87" w:rsidRDefault="003F0B87" w:rsidP="008F1069"/>
    <w:p w14:paraId="79AC1708" w14:textId="77777777" w:rsidR="008446F4" w:rsidRDefault="008446F4" w:rsidP="008F1069"/>
    <w:p w14:paraId="59FC8856" w14:textId="77777777" w:rsidR="008446F4" w:rsidRDefault="008446F4" w:rsidP="008F1069"/>
    <w:p w14:paraId="480743F4" w14:textId="77777777" w:rsidR="008446F4" w:rsidRDefault="008446F4" w:rsidP="008F1069"/>
    <w:p w14:paraId="59C6B304" w14:textId="77777777" w:rsidR="008446F4" w:rsidRDefault="008446F4" w:rsidP="008F1069"/>
    <w:p w14:paraId="36CE9651" w14:textId="77777777" w:rsidR="008446F4" w:rsidRDefault="008446F4" w:rsidP="008F1069"/>
    <w:p w14:paraId="2E69708D" w14:textId="1C16373A" w:rsidR="008446F4" w:rsidRDefault="002A4135" w:rsidP="008F1069">
      <w:r>
        <w:rPr>
          <w:noProof/>
          <w:lang w:val="en-US"/>
        </w:rPr>
        <mc:AlternateContent>
          <mc:Choice Requires="wps">
            <w:drawing>
              <wp:anchor distT="0" distB="0" distL="114300" distR="114300" simplePos="0" relativeHeight="251658250" behindDoc="0" locked="0" layoutInCell="1" allowOverlap="1" wp14:anchorId="4488FA94" wp14:editId="5EDD4B3F">
                <wp:simplePos x="0" y="0"/>
                <wp:positionH relativeFrom="column">
                  <wp:posOffset>2878455</wp:posOffset>
                </wp:positionH>
                <wp:positionV relativeFrom="paragraph">
                  <wp:posOffset>52070</wp:posOffset>
                </wp:positionV>
                <wp:extent cx="10160" cy="955040"/>
                <wp:effectExtent l="9525" t="7620" r="8890" b="889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955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B938AF8" id="_x0000_t32" coordsize="21600,21600" o:spt="32" o:oned="t" path="m,l21600,21600e" filled="f">
                <v:path arrowok="t" fillok="f" o:connecttype="none"/>
                <o:lock v:ext="edit" shapetype="t"/>
              </v:shapetype>
              <v:shape id="AutoShape 15" o:spid="_x0000_s1026" type="#_x0000_t32" style="position:absolute;margin-left:226.65pt;margin-top:4.1pt;width:.8pt;height:75.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"/>
            </w:pict>
          </mc:Fallback>
        </mc:AlternateContent>
      </w:r>
      <w:r>
        <w:rPr>
          <w:noProof/>
        </w:rPr>
        <mc:AlternateContent>
          <mc:Choice Requires="wps">
            <w:drawing>
              <wp:anchor distT="0" distB="0" distL="114300" distR="114300" simplePos="0" relativeHeight="251672595" behindDoc="0" locked="0" layoutInCell="1" allowOverlap="1" wp14:anchorId="5601D0B0" wp14:editId="13A9E73E">
                <wp:simplePos x="0" y="0"/>
                <wp:positionH relativeFrom="column">
                  <wp:posOffset>2040255</wp:posOffset>
                </wp:positionH>
                <wp:positionV relativeFrom="paragraph">
                  <wp:posOffset>175895</wp:posOffset>
                </wp:positionV>
                <wp:extent cx="1752600" cy="495300"/>
                <wp:effectExtent l="9525" t="7620" r="9525"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95300"/>
                        </a:xfrm>
                        <a:prstGeom prst="rect">
                          <a:avLst/>
                        </a:prstGeom>
                        <a:solidFill>
                          <a:srgbClr val="FFFFFF"/>
                        </a:solidFill>
                        <a:ln w="9525">
                          <a:solidFill>
                            <a:srgbClr val="000000"/>
                          </a:solidFill>
                          <a:miter lim="800000"/>
                          <a:headEnd/>
                          <a:tailEnd/>
                        </a:ln>
                      </wps:spPr>
                      <wps:txbx>
                        <w:txbxContent>
                          <w:p w14:paraId="3EC20A5F" w14:textId="77777777" w:rsidR="00230A72" w:rsidRPr="00AE6485" w:rsidRDefault="00230A72" w:rsidP="008446F4">
                            <w:pPr>
                              <w:spacing w:after="0"/>
                              <w:jc w:val="center"/>
                              <w:rPr>
                                <w:bCs/>
                                <w:sz w:val="18"/>
                                <w:szCs w:val="18"/>
                              </w:rPr>
                            </w:pPr>
                            <w:r>
                              <w:rPr>
                                <w:b/>
                                <w:sz w:val="23"/>
                                <w:szCs w:val="23"/>
                              </w:rPr>
                              <w:t>UNDP Senior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1D0B0" id="Text Box 14" o:spid="_x0000_s1032" type="#_x0000_t202" style="position:absolute;left:0;text-align:left;margin-left:160.65pt;margin-top:13.85pt;width:138pt;height:39pt;z-index:251672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">
                <v:textbox>
                  <w:txbxContent>
                    <w:p w14:paraId="3EC20A5F" w14:textId="77777777" w:rsidR="00230A72" w:rsidRPr="00AE6485" w:rsidRDefault="00230A72" w:rsidP="008446F4">
                      <w:pPr>
                        <w:spacing w:after="0"/>
                        <w:jc w:val="center"/>
                        <w:rPr>
                          <w:bCs/>
                          <w:sz w:val="18"/>
                          <w:szCs w:val="18"/>
                        </w:rPr>
                      </w:pPr>
                      <w:r>
                        <w:rPr>
                          <w:b/>
                          <w:sz w:val="23"/>
                          <w:szCs w:val="23"/>
                        </w:rPr>
                        <w:t>UNDP Senior Management</w:t>
                      </w:r>
                    </w:p>
                  </w:txbxContent>
                </v:textbox>
              </v:shape>
            </w:pict>
          </mc:Fallback>
        </mc:AlternateContent>
      </w:r>
    </w:p>
    <w:p w14:paraId="1E0FA3DF" w14:textId="77777777" w:rsidR="008446F4" w:rsidRDefault="008446F4" w:rsidP="008F1069"/>
    <w:p w14:paraId="590E62E6" w14:textId="47604C7D" w:rsidR="008446F4" w:rsidRDefault="00F575F3" w:rsidP="008F1069">
      <w:r>
        <w:rPr>
          <w:noProof/>
          <w:lang w:val="en-US"/>
        </w:rPr>
        <mc:AlternateContent>
          <mc:Choice Requires="wps">
            <w:drawing>
              <wp:anchor distT="0" distB="0" distL="114300" distR="114300" simplePos="0" relativeHeight="251658246" behindDoc="0" locked="0" layoutInCell="1" allowOverlap="1" wp14:anchorId="36747A6C" wp14:editId="268496FF">
                <wp:simplePos x="0" y="0"/>
                <wp:positionH relativeFrom="column">
                  <wp:posOffset>4002405</wp:posOffset>
                </wp:positionH>
                <wp:positionV relativeFrom="paragraph">
                  <wp:posOffset>622935</wp:posOffset>
                </wp:positionV>
                <wp:extent cx="1381125" cy="500380"/>
                <wp:effectExtent l="0" t="0" r="2857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0380"/>
                        </a:xfrm>
                        <a:prstGeom prst="rect">
                          <a:avLst/>
                        </a:prstGeom>
                        <a:solidFill>
                          <a:srgbClr val="FFFFFF"/>
                        </a:solidFill>
                        <a:ln w="9525">
                          <a:solidFill>
                            <a:srgbClr val="000000"/>
                          </a:solidFill>
                          <a:miter lim="800000"/>
                          <a:headEnd/>
                          <a:tailEnd/>
                        </a:ln>
                      </wps:spPr>
                      <wps:txbx>
                        <w:txbxContent>
                          <w:p w14:paraId="0111EAB9" w14:textId="77777777" w:rsidR="00230A72" w:rsidRDefault="00230A72" w:rsidP="005827B8">
                            <w:pPr>
                              <w:spacing w:after="0"/>
                              <w:jc w:val="center"/>
                              <w:rPr>
                                <w:b/>
                                <w:sz w:val="23"/>
                                <w:szCs w:val="23"/>
                              </w:rPr>
                            </w:pPr>
                            <w:r>
                              <w:rPr>
                                <w:b/>
                                <w:sz w:val="23"/>
                                <w:szCs w:val="23"/>
                              </w:rPr>
                              <w:t>Project Support</w:t>
                            </w:r>
                          </w:p>
                          <w:p w14:paraId="27666B63" w14:textId="77777777" w:rsidR="00230A72" w:rsidRPr="00AE6485" w:rsidRDefault="00230A72" w:rsidP="005827B8">
                            <w:pPr>
                              <w:spacing w:after="0"/>
                              <w:jc w:val="center"/>
                              <w:rPr>
                                <w:bCs/>
                                <w:sz w:val="18"/>
                                <w:szCs w:val="18"/>
                              </w:rPr>
                            </w:pPr>
                            <w:r w:rsidRPr="00AE6485">
                              <w:rPr>
                                <w:bCs/>
                                <w:sz w:val="18"/>
                                <w:szCs w:val="18"/>
                              </w:rPr>
                              <w:t>Operations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7A6C" id="Text Box 7" o:spid="_x0000_s1033" type="#_x0000_t202" style="position:absolute;left:0;text-align:left;margin-left:315.15pt;margin-top:49.05pt;width:108.75pt;height:39.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">
                <v:textbox>
                  <w:txbxContent>
                    <w:p w14:paraId="0111EAB9" w14:textId="77777777" w:rsidR="00230A72" w:rsidRDefault="00230A72" w:rsidP="005827B8">
                      <w:pPr>
                        <w:spacing w:after="0"/>
                        <w:jc w:val="center"/>
                        <w:rPr>
                          <w:b/>
                          <w:sz w:val="23"/>
                          <w:szCs w:val="23"/>
                        </w:rPr>
                      </w:pPr>
                      <w:r>
                        <w:rPr>
                          <w:b/>
                          <w:sz w:val="23"/>
                          <w:szCs w:val="23"/>
                        </w:rPr>
                        <w:t>Project Support</w:t>
                      </w:r>
                    </w:p>
                    <w:p w14:paraId="27666B63" w14:textId="77777777" w:rsidR="00230A72" w:rsidRPr="00AE6485" w:rsidRDefault="00230A72" w:rsidP="005827B8">
                      <w:pPr>
                        <w:spacing w:after="0"/>
                        <w:jc w:val="center"/>
                        <w:rPr>
                          <w:bCs/>
                          <w:sz w:val="18"/>
                          <w:szCs w:val="18"/>
                        </w:rPr>
                      </w:pPr>
                      <w:r w:rsidRPr="00AE6485">
                        <w:rPr>
                          <w:bCs/>
                          <w:sz w:val="18"/>
                          <w:szCs w:val="18"/>
                        </w:rPr>
                        <w:t>Operations Team</w:t>
                      </w:r>
                    </w:p>
                  </w:txbxContent>
                </v:textbox>
              </v:shape>
            </w:pict>
          </mc:Fallback>
        </mc:AlternateContent>
      </w:r>
      <w:r w:rsidR="002A4135">
        <w:rPr>
          <w:noProof/>
          <w:lang w:val="en-US"/>
        </w:rPr>
        <mc:AlternateContent>
          <mc:Choice Requires="wps">
            <w:drawing>
              <wp:anchor distT="0" distB="0" distL="114300" distR="114300" simplePos="0" relativeHeight="251658259" behindDoc="0" locked="0" layoutInCell="1" allowOverlap="1" wp14:anchorId="1EAFD05F" wp14:editId="29EC1E1F">
                <wp:simplePos x="0" y="0"/>
                <wp:positionH relativeFrom="column">
                  <wp:posOffset>2879090</wp:posOffset>
                </wp:positionH>
                <wp:positionV relativeFrom="paragraph">
                  <wp:posOffset>1181735</wp:posOffset>
                </wp:positionV>
                <wp:extent cx="0" cy="206375"/>
                <wp:effectExtent l="10160" t="10795" r="8890" b="11430"/>
                <wp:wrapNone/>
                <wp:docPr id="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AutoShape 63" style="position:absolute;margin-left:226.7pt;margin-top:93.05pt;width:0;height:1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" w14:anchorId="44B6371B"/>
            </w:pict>
          </mc:Fallback>
        </mc:AlternateContent>
      </w:r>
      <w:r w:rsidR="002A4135">
        <w:rPr>
          <w:noProof/>
          <w:lang w:val="en-US"/>
        </w:rPr>
        <mc:AlternateContent>
          <mc:Choice Requires="wps">
            <w:drawing>
              <wp:anchor distT="0" distB="0" distL="114300" distR="114300" simplePos="0" relativeHeight="251658245" behindDoc="0" locked="0" layoutInCell="1" allowOverlap="1" wp14:anchorId="1835A337" wp14:editId="4D680328">
                <wp:simplePos x="0" y="0"/>
                <wp:positionH relativeFrom="column">
                  <wp:posOffset>2059305</wp:posOffset>
                </wp:positionH>
                <wp:positionV relativeFrom="paragraph">
                  <wp:posOffset>626110</wp:posOffset>
                </wp:positionV>
                <wp:extent cx="1752600" cy="558800"/>
                <wp:effectExtent l="9525" t="7620" r="9525"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8800"/>
                        </a:xfrm>
                        <a:prstGeom prst="rect">
                          <a:avLst/>
                        </a:prstGeom>
                        <a:solidFill>
                          <a:srgbClr val="FFFFFF"/>
                        </a:solidFill>
                        <a:ln w="9525">
                          <a:solidFill>
                            <a:srgbClr val="000000"/>
                          </a:solidFill>
                          <a:miter lim="800000"/>
                          <a:headEnd/>
                          <a:tailEnd/>
                        </a:ln>
                      </wps:spPr>
                      <wps:txbx>
                        <w:txbxContent>
                          <w:p w14:paraId="2BCF8A55" w14:textId="77777777" w:rsidR="00230A72" w:rsidRPr="00BA2140" w:rsidRDefault="00230A72" w:rsidP="005827B8">
                            <w:pPr>
                              <w:spacing w:after="0"/>
                              <w:jc w:val="center"/>
                              <w:rPr>
                                <w:b/>
                                <w:sz w:val="23"/>
                                <w:szCs w:val="23"/>
                              </w:rPr>
                            </w:pPr>
                            <w:r>
                              <w:rPr>
                                <w:b/>
                                <w:sz w:val="23"/>
                                <w:szCs w:val="23"/>
                              </w:rPr>
                              <w:t>Project Management</w:t>
                            </w:r>
                          </w:p>
                          <w:p w14:paraId="53FAA0E4" w14:textId="42EDEA43" w:rsidR="00230A72" w:rsidRPr="00AE6485" w:rsidRDefault="00230A72" w:rsidP="005827B8">
                            <w:pPr>
                              <w:spacing w:after="0"/>
                              <w:jc w:val="center"/>
                              <w:rPr>
                                <w:bCs/>
                                <w:sz w:val="18"/>
                                <w:szCs w:val="18"/>
                              </w:rPr>
                            </w:pPr>
                            <w:r w:rsidRPr="00AE6485">
                              <w:rPr>
                                <w:bCs/>
                                <w:sz w:val="18"/>
                                <w:szCs w:val="18"/>
                              </w:rPr>
                              <w:t>Programme Specialist</w:t>
                            </w:r>
                            <w:r>
                              <w:rPr>
                                <w:bCs/>
                                <w:sz w:val="18"/>
                                <w:szCs w:val="18"/>
                              </w:rPr>
                              <w:t>, Urban Planning and Social Cohesion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A337" id="Text Box 2" o:spid="_x0000_s1034" type="#_x0000_t202" style="position:absolute;left:0;text-align:left;margin-left:162.15pt;margin-top:49.3pt;width:138pt;height: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qhKwIAAFg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">
                <v:textbox>
                  <w:txbxContent>
                    <w:p w14:paraId="2BCF8A55" w14:textId="77777777" w:rsidR="00230A72" w:rsidRPr="00BA2140" w:rsidRDefault="00230A72" w:rsidP="005827B8">
                      <w:pPr>
                        <w:spacing w:after="0"/>
                        <w:jc w:val="center"/>
                        <w:rPr>
                          <w:b/>
                          <w:sz w:val="23"/>
                          <w:szCs w:val="23"/>
                        </w:rPr>
                      </w:pPr>
                      <w:r>
                        <w:rPr>
                          <w:b/>
                          <w:sz w:val="23"/>
                          <w:szCs w:val="23"/>
                        </w:rPr>
                        <w:t>Project Management</w:t>
                      </w:r>
                    </w:p>
                    <w:p w14:paraId="53FAA0E4" w14:textId="42EDEA43" w:rsidR="00230A72" w:rsidRPr="00AE6485" w:rsidRDefault="00230A72" w:rsidP="005827B8">
                      <w:pPr>
                        <w:spacing w:after="0"/>
                        <w:jc w:val="center"/>
                        <w:rPr>
                          <w:bCs/>
                          <w:sz w:val="18"/>
                          <w:szCs w:val="18"/>
                        </w:rPr>
                      </w:pPr>
                      <w:r w:rsidRPr="00AE6485">
                        <w:rPr>
                          <w:bCs/>
                          <w:sz w:val="18"/>
                          <w:szCs w:val="18"/>
                        </w:rPr>
                        <w:t>Programme Specialist</w:t>
                      </w:r>
                      <w:r>
                        <w:rPr>
                          <w:bCs/>
                          <w:sz w:val="18"/>
                          <w:szCs w:val="18"/>
                        </w:rPr>
                        <w:t>, Urban Planning and Social Cohesion</w:t>
                      </w:r>
                    </w:p>
                  </w:txbxContent>
                </v:textbox>
              </v:shape>
            </w:pict>
          </mc:Fallback>
        </mc:AlternateContent>
      </w:r>
      <w:r w:rsidR="002A4135">
        <w:rPr>
          <w:noProof/>
          <w:lang w:val="en-US"/>
        </w:rPr>
        <mc:AlternateContent>
          <mc:Choice Requires="wps">
            <w:drawing>
              <wp:anchor distT="0" distB="0" distL="114300" distR="114300" simplePos="0" relativeHeight="251658253" behindDoc="0" locked="0" layoutInCell="1" allowOverlap="1" wp14:anchorId="73B123A2" wp14:editId="128A0E64">
                <wp:simplePos x="0" y="0"/>
                <wp:positionH relativeFrom="column">
                  <wp:posOffset>1627505</wp:posOffset>
                </wp:positionH>
                <wp:positionV relativeFrom="paragraph">
                  <wp:posOffset>1378585</wp:posOffset>
                </wp:positionV>
                <wp:extent cx="2549525" cy="635"/>
                <wp:effectExtent l="6350" t="7620" r="6350" b="107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AutoShape 9" style="position:absolute;margin-left:128.15pt;margin-top:108.55pt;width:200.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" w14:anchorId="552DC1F4"/>
            </w:pict>
          </mc:Fallback>
        </mc:AlternateContent>
      </w:r>
      <w:r w:rsidR="002A4135">
        <w:rPr>
          <w:noProof/>
          <w:lang w:val="en-US"/>
        </w:rPr>
        <mc:AlternateContent>
          <mc:Choice Requires="wps">
            <w:drawing>
              <wp:anchor distT="0" distB="0" distL="114300" distR="114300" simplePos="0" relativeHeight="251658249" behindDoc="0" locked="0" layoutInCell="1" allowOverlap="1" wp14:anchorId="2D8954C8" wp14:editId="19ACD64F">
                <wp:simplePos x="0" y="0"/>
                <wp:positionH relativeFrom="column">
                  <wp:posOffset>3386455</wp:posOffset>
                </wp:positionH>
                <wp:positionV relativeFrom="paragraph">
                  <wp:posOffset>1578610</wp:posOffset>
                </wp:positionV>
                <wp:extent cx="1524000" cy="895350"/>
                <wp:effectExtent l="12700" t="7620" r="6350" b="1143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95350"/>
                        </a:xfrm>
                        <a:prstGeom prst="rect">
                          <a:avLst/>
                        </a:prstGeom>
                        <a:solidFill>
                          <a:srgbClr val="FFFFFF"/>
                        </a:solidFill>
                        <a:ln w="9525">
                          <a:solidFill>
                            <a:srgbClr val="000000"/>
                          </a:solidFill>
                          <a:miter lim="800000"/>
                          <a:headEnd/>
                          <a:tailEnd/>
                        </a:ln>
                      </wps:spPr>
                      <wps:txbx>
                        <w:txbxContent>
                          <w:p w14:paraId="706F7F96" w14:textId="0A1E00DF" w:rsidR="00230A72" w:rsidRDefault="00230A72" w:rsidP="000717D8">
                            <w:pPr>
                              <w:spacing w:after="0"/>
                              <w:jc w:val="center"/>
                              <w:rPr>
                                <w:bCs/>
                                <w:sz w:val="18"/>
                                <w:szCs w:val="18"/>
                              </w:rPr>
                            </w:pPr>
                            <w:r w:rsidRPr="00AE6485">
                              <w:rPr>
                                <w:bCs/>
                                <w:sz w:val="18"/>
                                <w:szCs w:val="18"/>
                              </w:rPr>
                              <w:t xml:space="preserve">Expert team for Output </w:t>
                            </w:r>
                            <w:r>
                              <w:rPr>
                                <w:bCs/>
                                <w:sz w:val="18"/>
                                <w:szCs w:val="18"/>
                              </w:rPr>
                              <w:t>2</w:t>
                            </w:r>
                            <w:r w:rsidRPr="00AE6485">
                              <w:rPr>
                                <w:bCs/>
                                <w:sz w:val="18"/>
                                <w:szCs w:val="18"/>
                              </w:rPr>
                              <w:t xml:space="preserve"> (</w:t>
                            </w:r>
                            <w:r>
                              <w:rPr>
                                <w:bCs/>
                                <w:sz w:val="18"/>
                                <w:szCs w:val="18"/>
                              </w:rPr>
                              <w:t>Crisis Risk, Livelihoods &amp; Community Security</w:t>
                            </w:r>
                            <w:r w:rsidRPr="00AE6485">
                              <w:rPr>
                                <w:bCs/>
                                <w:sz w:val="18"/>
                                <w:szCs w:val="18"/>
                              </w:rPr>
                              <w:t>)</w:t>
                            </w:r>
                          </w:p>
                          <w:p w14:paraId="007E9040" w14:textId="3C504CF1" w:rsidR="00230A72" w:rsidRPr="00AE6485" w:rsidRDefault="00230A72" w:rsidP="009304F1">
                            <w:pPr>
                              <w:spacing w:after="0"/>
                              <w:rPr>
                                <w:bCs/>
                                <w:sz w:val="18"/>
                                <w:szCs w:val="18"/>
                              </w:rPr>
                            </w:pPr>
                            <w:r>
                              <w:rPr>
                                <w:bCs/>
                                <w:sz w:val="18"/>
                                <w:szCs w:val="18"/>
                              </w:rPr>
                              <w:t>National Programme Analyst; Programme Officers, UNV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4C8" id="Text Box 6" o:spid="_x0000_s1035" type="#_x0000_t202" style="position:absolute;left:0;text-align:left;margin-left:266.65pt;margin-top:124.3pt;width:120pt;height:7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">
                <v:textbox>
                  <w:txbxContent>
                    <w:p w14:paraId="706F7F96" w14:textId="0A1E00DF" w:rsidR="00230A72" w:rsidRDefault="00230A72" w:rsidP="000717D8">
                      <w:pPr>
                        <w:spacing w:after="0"/>
                        <w:jc w:val="center"/>
                        <w:rPr>
                          <w:bCs/>
                          <w:sz w:val="18"/>
                          <w:szCs w:val="18"/>
                        </w:rPr>
                      </w:pPr>
                      <w:r w:rsidRPr="00AE6485">
                        <w:rPr>
                          <w:bCs/>
                          <w:sz w:val="18"/>
                          <w:szCs w:val="18"/>
                        </w:rPr>
                        <w:t xml:space="preserve">Expert team for Output </w:t>
                      </w:r>
                      <w:r>
                        <w:rPr>
                          <w:bCs/>
                          <w:sz w:val="18"/>
                          <w:szCs w:val="18"/>
                        </w:rPr>
                        <w:t>2</w:t>
                      </w:r>
                      <w:r w:rsidRPr="00AE6485">
                        <w:rPr>
                          <w:bCs/>
                          <w:sz w:val="18"/>
                          <w:szCs w:val="18"/>
                        </w:rPr>
                        <w:t xml:space="preserve"> (</w:t>
                      </w:r>
                      <w:r>
                        <w:rPr>
                          <w:bCs/>
                          <w:sz w:val="18"/>
                          <w:szCs w:val="18"/>
                        </w:rPr>
                        <w:t>Crisis Risk, Livelihoods &amp; Community Security</w:t>
                      </w:r>
                      <w:r w:rsidRPr="00AE6485">
                        <w:rPr>
                          <w:bCs/>
                          <w:sz w:val="18"/>
                          <w:szCs w:val="18"/>
                        </w:rPr>
                        <w:t>)</w:t>
                      </w:r>
                    </w:p>
                    <w:p w14:paraId="007E9040" w14:textId="3C504CF1" w:rsidR="00230A72" w:rsidRPr="00AE6485" w:rsidRDefault="00230A72" w:rsidP="009304F1">
                      <w:pPr>
                        <w:spacing w:after="0"/>
                        <w:rPr>
                          <w:bCs/>
                          <w:sz w:val="18"/>
                          <w:szCs w:val="18"/>
                        </w:rPr>
                      </w:pPr>
                      <w:r>
                        <w:rPr>
                          <w:bCs/>
                          <w:sz w:val="18"/>
                          <w:szCs w:val="18"/>
                        </w:rPr>
                        <w:t>National Programme Analyst; Programme Officers, UNV</w:t>
                      </w:r>
                    </w:p>
                  </w:txbxContent>
                </v:textbox>
              </v:shape>
            </w:pict>
          </mc:Fallback>
        </mc:AlternateContent>
      </w:r>
      <w:r w:rsidR="002A4135">
        <w:rPr>
          <w:noProof/>
          <w:lang w:val="en-US"/>
        </w:rPr>
        <mc:AlternateContent>
          <mc:Choice Requires="wps">
            <w:drawing>
              <wp:anchor distT="0" distB="0" distL="114300" distR="114300" simplePos="0" relativeHeight="251658256" behindDoc="0" locked="0" layoutInCell="1" allowOverlap="1" wp14:anchorId="1EAFD05F" wp14:editId="115EAFED">
                <wp:simplePos x="0" y="0"/>
                <wp:positionH relativeFrom="column">
                  <wp:posOffset>4173855</wp:posOffset>
                </wp:positionH>
                <wp:positionV relativeFrom="paragraph">
                  <wp:posOffset>1378585</wp:posOffset>
                </wp:positionV>
                <wp:extent cx="0" cy="200025"/>
                <wp:effectExtent l="9525" t="7620" r="9525" b="1143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AutoShape 13" style="position:absolute;margin-left:328.65pt;margin-top:108.55pt;width:0;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" w14:anchorId="3BC4F2C7"/>
            </w:pict>
          </mc:Fallback>
        </mc:AlternateContent>
      </w:r>
      <w:r w:rsidR="002A4135">
        <w:rPr>
          <w:noProof/>
          <w:lang w:val="en-US"/>
        </w:rPr>
        <mc:AlternateContent>
          <mc:Choice Requires="wps">
            <w:drawing>
              <wp:anchor distT="0" distB="0" distL="114300" distR="114300" simplePos="0" relativeHeight="251658248" behindDoc="0" locked="0" layoutInCell="1" allowOverlap="1" wp14:anchorId="08864471" wp14:editId="045765A5">
                <wp:simplePos x="0" y="0"/>
                <wp:positionH relativeFrom="column">
                  <wp:posOffset>840105</wp:posOffset>
                </wp:positionH>
                <wp:positionV relativeFrom="paragraph">
                  <wp:posOffset>1588135</wp:posOffset>
                </wp:positionV>
                <wp:extent cx="1524000" cy="876300"/>
                <wp:effectExtent l="9525" t="7620" r="9525" b="114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76300"/>
                        </a:xfrm>
                        <a:prstGeom prst="rect">
                          <a:avLst/>
                        </a:prstGeom>
                        <a:solidFill>
                          <a:srgbClr val="FFFFFF"/>
                        </a:solidFill>
                        <a:ln w="9525">
                          <a:solidFill>
                            <a:srgbClr val="000000"/>
                          </a:solidFill>
                          <a:miter lim="800000"/>
                          <a:headEnd/>
                          <a:tailEnd/>
                        </a:ln>
                      </wps:spPr>
                      <wps:txbx>
                        <w:txbxContent>
                          <w:p w14:paraId="031AF833" w14:textId="77777777" w:rsidR="00230A72" w:rsidRDefault="00230A72" w:rsidP="000717D8">
                            <w:pPr>
                              <w:spacing w:after="0"/>
                              <w:jc w:val="center"/>
                              <w:rPr>
                                <w:bCs/>
                                <w:sz w:val="18"/>
                                <w:szCs w:val="18"/>
                              </w:rPr>
                            </w:pPr>
                            <w:r w:rsidRPr="00AE6485">
                              <w:rPr>
                                <w:bCs/>
                                <w:sz w:val="18"/>
                                <w:szCs w:val="18"/>
                              </w:rPr>
                              <w:t>Expert team for Output 1 (PVE)</w:t>
                            </w:r>
                          </w:p>
                          <w:p w14:paraId="3CB06421" w14:textId="77777777" w:rsidR="00230A72" w:rsidRPr="00AE6485" w:rsidRDefault="00230A72" w:rsidP="009304F1">
                            <w:pPr>
                              <w:spacing w:after="0"/>
                              <w:rPr>
                                <w:bCs/>
                                <w:sz w:val="18"/>
                                <w:szCs w:val="18"/>
                              </w:rPr>
                            </w:pPr>
                            <w:r>
                              <w:rPr>
                                <w:bCs/>
                                <w:sz w:val="18"/>
                                <w:szCs w:val="18"/>
                              </w:rPr>
                              <w:t>National Programme Analyst; National Officer for Community Policing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4471" id="Text Box 5" o:spid="_x0000_s1036" type="#_x0000_t202" style="position:absolute;left:0;text-align:left;margin-left:66.15pt;margin-top:125.05pt;width:120pt;height:6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">
                <v:textbox>
                  <w:txbxContent>
                    <w:p w14:paraId="031AF833" w14:textId="77777777" w:rsidR="00230A72" w:rsidRDefault="00230A72" w:rsidP="000717D8">
                      <w:pPr>
                        <w:spacing w:after="0"/>
                        <w:jc w:val="center"/>
                        <w:rPr>
                          <w:bCs/>
                          <w:sz w:val="18"/>
                          <w:szCs w:val="18"/>
                        </w:rPr>
                      </w:pPr>
                      <w:r w:rsidRPr="00AE6485">
                        <w:rPr>
                          <w:bCs/>
                          <w:sz w:val="18"/>
                          <w:szCs w:val="18"/>
                        </w:rPr>
                        <w:t>Expert team for Output 1 (PVE)</w:t>
                      </w:r>
                    </w:p>
                    <w:p w14:paraId="3CB06421" w14:textId="77777777" w:rsidR="00230A72" w:rsidRPr="00AE6485" w:rsidRDefault="00230A72" w:rsidP="009304F1">
                      <w:pPr>
                        <w:spacing w:after="0"/>
                        <w:rPr>
                          <w:bCs/>
                          <w:sz w:val="18"/>
                          <w:szCs w:val="18"/>
                        </w:rPr>
                      </w:pPr>
                      <w:r>
                        <w:rPr>
                          <w:bCs/>
                          <w:sz w:val="18"/>
                          <w:szCs w:val="18"/>
                        </w:rPr>
                        <w:t>National Programme Analyst; National Officer for Community Policing</w:t>
                      </w:r>
                    </w:p>
                  </w:txbxContent>
                </v:textbox>
              </v:shape>
            </w:pict>
          </mc:Fallback>
        </mc:AlternateContent>
      </w:r>
      <w:r w:rsidR="002A4135">
        <w:rPr>
          <w:noProof/>
          <w:lang w:val="en-US"/>
        </w:rPr>
        <mc:AlternateContent>
          <mc:Choice Requires="wps">
            <w:drawing>
              <wp:anchor distT="0" distB="0" distL="114300" distR="114300" simplePos="0" relativeHeight="251658254" behindDoc="0" locked="0" layoutInCell="1" allowOverlap="1" wp14:anchorId="0A803655" wp14:editId="0A71560D">
                <wp:simplePos x="0" y="0"/>
                <wp:positionH relativeFrom="column">
                  <wp:posOffset>1627505</wp:posOffset>
                </wp:positionH>
                <wp:positionV relativeFrom="paragraph">
                  <wp:posOffset>1388110</wp:posOffset>
                </wp:positionV>
                <wp:extent cx="0" cy="200025"/>
                <wp:effectExtent l="6350" t="7620" r="12700" b="1143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AutoShape 10" style="position:absolute;margin-left:128.15pt;margin-top:109.3pt;width:0;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" w14:anchorId="2493BC0F"/>
            </w:pict>
          </mc:Fallback>
        </mc:AlternateContent>
      </w:r>
      <w:r w:rsidR="002A4135">
        <w:rPr>
          <w:noProof/>
          <w:lang w:val="en-US"/>
        </w:rPr>
        <mc:AlternateContent>
          <mc:Choice Requires="wps">
            <w:drawing>
              <wp:anchor distT="0" distB="0" distL="114300" distR="114300" simplePos="0" relativeHeight="251658247" behindDoc="0" locked="0" layoutInCell="1" allowOverlap="1" wp14:anchorId="59D99D95" wp14:editId="03B87ED6">
                <wp:simplePos x="0" y="0"/>
                <wp:positionH relativeFrom="column">
                  <wp:posOffset>430530</wp:posOffset>
                </wp:positionH>
                <wp:positionV relativeFrom="paragraph">
                  <wp:posOffset>340360</wp:posOffset>
                </wp:positionV>
                <wp:extent cx="1524000" cy="879475"/>
                <wp:effectExtent l="9525" t="7620" r="9525" b="825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79475"/>
                        </a:xfrm>
                        <a:prstGeom prst="rect">
                          <a:avLst/>
                        </a:prstGeom>
                        <a:solidFill>
                          <a:srgbClr val="FFFFFF"/>
                        </a:solidFill>
                        <a:ln w="9525">
                          <a:solidFill>
                            <a:srgbClr val="000000"/>
                          </a:solidFill>
                          <a:miter lim="800000"/>
                          <a:headEnd/>
                          <a:tailEnd/>
                        </a:ln>
                      </wps:spPr>
                      <wps:txbx>
                        <w:txbxContent>
                          <w:p w14:paraId="75E2F285" w14:textId="77777777" w:rsidR="00230A72" w:rsidRDefault="00230A72" w:rsidP="000717D8">
                            <w:pPr>
                              <w:spacing w:before="60" w:after="0"/>
                              <w:jc w:val="center"/>
                              <w:rPr>
                                <w:b/>
                                <w:sz w:val="23"/>
                                <w:szCs w:val="23"/>
                              </w:rPr>
                            </w:pPr>
                            <w:r>
                              <w:rPr>
                                <w:b/>
                                <w:sz w:val="23"/>
                                <w:szCs w:val="23"/>
                              </w:rPr>
                              <w:t>Project Assurance</w:t>
                            </w:r>
                          </w:p>
                          <w:p w14:paraId="1E7EDBD1" w14:textId="3791EDA0" w:rsidR="00230A72" w:rsidRDefault="00230A72" w:rsidP="000717D8">
                            <w:pPr>
                              <w:spacing w:after="0"/>
                              <w:jc w:val="center"/>
                              <w:rPr>
                                <w:bCs/>
                                <w:sz w:val="18"/>
                                <w:szCs w:val="18"/>
                              </w:rPr>
                            </w:pPr>
                            <w:r>
                              <w:rPr>
                                <w:bCs/>
                                <w:sz w:val="18"/>
                                <w:szCs w:val="18"/>
                              </w:rPr>
                              <w:t xml:space="preserve">1. </w:t>
                            </w:r>
                            <w:r w:rsidRPr="00AE6485">
                              <w:rPr>
                                <w:bCs/>
                                <w:sz w:val="18"/>
                                <w:szCs w:val="18"/>
                              </w:rPr>
                              <w:t xml:space="preserve">Team Leader, </w:t>
                            </w:r>
                            <w:r>
                              <w:rPr>
                                <w:bCs/>
                                <w:sz w:val="18"/>
                                <w:szCs w:val="18"/>
                              </w:rPr>
                              <w:t>Governance and Peace</w:t>
                            </w:r>
                          </w:p>
                          <w:p w14:paraId="03C3B260" w14:textId="45458189" w:rsidR="00230A72" w:rsidRDefault="00230A72" w:rsidP="000717D8">
                            <w:pPr>
                              <w:spacing w:after="0"/>
                              <w:jc w:val="center"/>
                              <w:rPr>
                                <w:bCs/>
                                <w:sz w:val="18"/>
                                <w:szCs w:val="18"/>
                              </w:rPr>
                            </w:pPr>
                            <w:r>
                              <w:rPr>
                                <w:bCs/>
                                <w:sz w:val="18"/>
                                <w:szCs w:val="18"/>
                              </w:rPr>
                              <w:t>2. Team Leader, Inclusive Growth</w:t>
                            </w:r>
                          </w:p>
                          <w:p w14:paraId="059ED15D" w14:textId="77777777" w:rsidR="00230A72" w:rsidRPr="00AE6485" w:rsidRDefault="00230A72" w:rsidP="000717D8">
                            <w:pPr>
                              <w:spacing w:after="0"/>
                              <w:jc w:val="center"/>
                              <w:rPr>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9D95" id="Text Box 12" o:spid="_x0000_s1037" type="#_x0000_t202" style="position:absolute;left:0;text-align:left;margin-left:33.9pt;margin-top:26.8pt;width:120pt;height:6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">
                <v:textbox>
                  <w:txbxContent>
                    <w:p w14:paraId="75E2F285" w14:textId="77777777" w:rsidR="00230A72" w:rsidRDefault="00230A72" w:rsidP="000717D8">
                      <w:pPr>
                        <w:spacing w:before="60" w:after="0"/>
                        <w:jc w:val="center"/>
                        <w:rPr>
                          <w:b/>
                          <w:sz w:val="23"/>
                          <w:szCs w:val="23"/>
                        </w:rPr>
                      </w:pPr>
                      <w:r>
                        <w:rPr>
                          <w:b/>
                          <w:sz w:val="23"/>
                          <w:szCs w:val="23"/>
                        </w:rPr>
                        <w:t>Project Assurance</w:t>
                      </w:r>
                    </w:p>
                    <w:p w14:paraId="1E7EDBD1" w14:textId="3791EDA0" w:rsidR="00230A72" w:rsidRDefault="00230A72" w:rsidP="000717D8">
                      <w:pPr>
                        <w:spacing w:after="0"/>
                        <w:jc w:val="center"/>
                        <w:rPr>
                          <w:bCs/>
                          <w:sz w:val="18"/>
                          <w:szCs w:val="18"/>
                        </w:rPr>
                      </w:pPr>
                      <w:r>
                        <w:rPr>
                          <w:bCs/>
                          <w:sz w:val="18"/>
                          <w:szCs w:val="18"/>
                        </w:rPr>
                        <w:t xml:space="preserve">1. </w:t>
                      </w:r>
                      <w:r w:rsidRPr="00AE6485">
                        <w:rPr>
                          <w:bCs/>
                          <w:sz w:val="18"/>
                          <w:szCs w:val="18"/>
                        </w:rPr>
                        <w:t xml:space="preserve">Team Leader, </w:t>
                      </w:r>
                      <w:r>
                        <w:rPr>
                          <w:bCs/>
                          <w:sz w:val="18"/>
                          <w:szCs w:val="18"/>
                        </w:rPr>
                        <w:t>Governance and Peace</w:t>
                      </w:r>
                    </w:p>
                    <w:p w14:paraId="03C3B260" w14:textId="45458189" w:rsidR="00230A72" w:rsidRDefault="00230A72" w:rsidP="000717D8">
                      <w:pPr>
                        <w:spacing w:after="0"/>
                        <w:jc w:val="center"/>
                        <w:rPr>
                          <w:bCs/>
                          <w:sz w:val="18"/>
                          <w:szCs w:val="18"/>
                        </w:rPr>
                      </w:pPr>
                      <w:r>
                        <w:rPr>
                          <w:bCs/>
                          <w:sz w:val="18"/>
                          <w:szCs w:val="18"/>
                        </w:rPr>
                        <w:t>2. Team Leader, Inclusive Growth</w:t>
                      </w:r>
                    </w:p>
                    <w:p w14:paraId="059ED15D" w14:textId="77777777" w:rsidR="00230A72" w:rsidRPr="00AE6485" w:rsidRDefault="00230A72" w:rsidP="000717D8">
                      <w:pPr>
                        <w:spacing w:after="0"/>
                        <w:jc w:val="center"/>
                        <w:rPr>
                          <w:bCs/>
                          <w:sz w:val="18"/>
                          <w:szCs w:val="18"/>
                        </w:rPr>
                      </w:pPr>
                    </w:p>
                  </w:txbxContent>
                </v:textbox>
              </v:shape>
            </w:pict>
          </mc:Fallback>
        </mc:AlternateContent>
      </w:r>
      <w:r w:rsidR="002A4135">
        <w:rPr>
          <w:noProof/>
          <w:lang w:val="en-US"/>
        </w:rPr>
        <mc:AlternateContent>
          <mc:Choice Requires="wps">
            <w:drawing>
              <wp:anchor distT="0" distB="0" distL="114300" distR="114300" simplePos="0" relativeHeight="251658251" behindDoc="0" locked="0" layoutInCell="1" allowOverlap="1" wp14:anchorId="6DB0E600" wp14:editId="75ADEDBE">
                <wp:simplePos x="0" y="0"/>
                <wp:positionH relativeFrom="column">
                  <wp:posOffset>1954530</wp:posOffset>
                </wp:positionH>
                <wp:positionV relativeFrom="paragraph">
                  <wp:posOffset>445135</wp:posOffset>
                </wp:positionV>
                <wp:extent cx="923925" cy="0"/>
                <wp:effectExtent l="9525" t="7620" r="9525" b="1143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FE8999" id="AutoShape 8" o:spid="_x0000_s1026" type="#_x0000_t32" style="position:absolute;margin-left:153.9pt;margin-top:35.05pt;width:72.7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"/>
            </w:pict>
          </mc:Fallback>
        </mc:AlternateContent>
      </w:r>
      <w:r w:rsidR="002A4135">
        <w:rPr>
          <w:noProof/>
          <w:lang w:val="en-US"/>
        </w:rPr>
        <mc:AlternateContent>
          <mc:Choice Requires="wps">
            <w:drawing>
              <wp:anchor distT="0" distB="0" distL="114300" distR="114300" simplePos="0" relativeHeight="251658252" behindDoc="0" locked="0" layoutInCell="1" allowOverlap="1" wp14:anchorId="68A189F0" wp14:editId="0DA979CE">
                <wp:simplePos x="0" y="0"/>
                <wp:positionH relativeFrom="column">
                  <wp:posOffset>3821430</wp:posOffset>
                </wp:positionH>
                <wp:positionV relativeFrom="paragraph">
                  <wp:posOffset>979170</wp:posOffset>
                </wp:positionV>
                <wp:extent cx="182880" cy="0"/>
                <wp:effectExtent l="9525" t="8255" r="762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 id="AutoShape 3" style="position:absolute;margin-left:300.9pt;margin-top:77.1pt;width:1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" w14:anchorId="5BAC02AA"/>
            </w:pict>
          </mc:Fallback>
        </mc:AlternateContent>
      </w:r>
    </w:p>
    <w:p w14:paraId="17F4F6EF" w14:textId="77777777" w:rsidR="008446F4" w:rsidRDefault="008446F4" w:rsidP="008F1069">
      <w:pPr>
        <w:sectPr w:rsidR="008446F4" w:rsidSect="00955924">
          <w:headerReference w:type="first" r:id="rId23"/>
          <w:pgSz w:w="11906" w:h="16838" w:code="9"/>
          <w:pgMar w:top="864" w:right="1152" w:bottom="864" w:left="1152" w:header="720" w:footer="432" w:gutter="0"/>
          <w:cols w:space="708"/>
          <w:titlePg/>
          <w:docGrid w:linePitch="360"/>
        </w:sectPr>
      </w:pPr>
    </w:p>
    <w:p w14:paraId="2BB1FF73" w14:textId="77777777" w:rsidR="002C457E" w:rsidRPr="00D92EF5" w:rsidRDefault="008F31C6" w:rsidP="0043514A">
      <w:pPr>
        <w:pStyle w:val="Heading1"/>
      </w:pPr>
      <w:r w:rsidRPr="00D92EF5">
        <w:lastRenderedPageBreak/>
        <w:t xml:space="preserve">Vulnerability selection criteria </w:t>
      </w:r>
    </w:p>
    <w:p w14:paraId="66A1A356" w14:textId="10C1C24F" w:rsidR="008F31C6" w:rsidRPr="00D92EF5" w:rsidRDefault="008F31C6" w:rsidP="008F31C6">
      <w:r w:rsidRPr="00D92EF5">
        <w:t xml:space="preserve">For the implementation of activity </w:t>
      </w:r>
      <w:r w:rsidR="00C665FF">
        <w:t>1.3</w:t>
      </w:r>
      <w:r w:rsidRPr="00D92EF5">
        <w:t xml:space="preserve"> and 2.</w:t>
      </w:r>
      <w:r w:rsidR="00C665FF">
        <w:t>1</w:t>
      </w:r>
      <w:r w:rsidRPr="00D92EF5">
        <w:t>, UNDP will select beneficiaries based on the below vulnerability selection criteria</w:t>
      </w:r>
      <w:r w:rsidRPr="00D92EF5">
        <w:rPr>
          <w:rStyle w:val="FootnoteReference"/>
        </w:rPr>
        <w:footnoteReference w:id="24"/>
      </w:r>
      <w:r w:rsidRPr="00D92EF5">
        <w:t>:</w:t>
      </w:r>
    </w:p>
    <w:p w14:paraId="6203FBCC" w14:textId="77777777" w:rsidR="008F31C6" w:rsidRPr="00D92EF5" w:rsidRDefault="008F31C6" w:rsidP="00C114C0">
      <w:pPr>
        <w:numPr>
          <w:ilvl w:val="0"/>
          <w:numId w:val="26"/>
        </w:numPr>
        <w:spacing w:after="0"/>
        <w:rPr>
          <w:bCs/>
          <w:iCs/>
        </w:rPr>
      </w:pPr>
      <w:r w:rsidRPr="00D92EF5">
        <w:rPr>
          <w:bCs/>
          <w:iCs/>
        </w:rPr>
        <w:t>Individuals who are victims of violence and extremism or related families;</w:t>
      </w:r>
    </w:p>
    <w:p w14:paraId="4DDFADFB" w14:textId="77777777" w:rsidR="008F31C6" w:rsidRPr="00D92EF5" w:rsidRDefault="008F31C6" w:rsidP="00C114C0">
      <w:pPr>
        <w:numPr>
          <w:ilvl w:val="0"/>
          <w:numId w:val="26"/>
        </w:numPr>
        <w:spacing w:after="0"/>
        <w:rPr>
          <w:bCs/>
          <w:iCs/>
        </w:rPr>
      </w:pPr>
      <w:r w:rsidRPr="00D92EF5">
        <w:rPr>
          <w:bCs/>
          <w:iCs/>
        </w:rPr>
        <w:t xml:space="preserve">Individuals who are members of households benefiting from the National Aid Fund; </w:t>
      </w:r>
    </w:p>
    <w:p w14:paraId="19224D1A" w14:textId="77777777" w:rsidR="008F31C6" w:rsidRPr="00D92EF5" w:rsidRDefault="008F31C6" w:rsidP="00C114C0">
      <w:pPr>
        <w:numPr>
          <w:ilvl w:val="0"/>
          <w:numId w:val="26"/>
        </w:numPr>
        <w:spacing w:after="0"/>
        <w:rPr>
          <w:bCs/>
          <w:iCs/>
        </w:rPr>
      </w:pPr>
      <w:r w:rsidRPr="00D92EF5">
        <w:rPr>
          <w:bCs/>
          <w:iCs/>
        </w:rPr>
        <w:t xml:space="preserve">Individuals who are members of households earning less than minimum wage of 220 JD/month; </w:t>
      </w:r>
    </w:p>
    <w:p w14:paraId="53F4ACE5" w14:textId="77777777" w:rsidR="008F31C6" w:rsidRPr="00D92EF5" w:rsidRDefault="008F31C6" w:rsidP="00C114C0">
      <w:pPr>
        <w:numPr>
          <w:ilvl w:val="0"/>
          <w:numId w:val="26"/>
        </w:numPr>
        <w:spacing w:after="0"/>
        <w:rPr>
          <w:bCs/>
          <w:iCs/>
        </w:rPr>
      </w:pPr>
      <w:r w:rsidRPr="00D92EF5">
        <w:rPr>
          <w:bCs/>
          <w:iCs/>
        </w:rPr>
        <w:t>Young females who are the head of households;</w:t>
      </w:r>
    </w:p>
    <w:p w14:paraId="6C99ADD9" w14:textId="77777777" w:rsidR="008F31C6" w:rsidRPr="00D92EF5" w:rsidRDefault="008F31C6" w:rsidP="00C114C0">
      <w:pPr>
        <w:numPr>
          <w:ilvl w:val="0"/>
          <w:numId w:val="26"/>
        </w:numPr>
        <w:spacing w:after="0"/>
        <w:rPr>
          <w:bCs/>
          <w:iCs/>
        </w:rPr>
      </w:pPr>
      <w:r w:rsidRPr="00D92EF5">
        <w:rPr>
          <w:bCs/>
          <w:iCs/>
        </w:rPr>
        <w:t>Individuals who are from women-led households;</w:t>
      </w:r>
    </w:p>
    <w:p w14:paraId="5EAF43CF" w14:textId="77777777" w:rsidR="008F31C6" w:rsidRPr="00D92EF5" w:rsidRDefault="008F31C6" w:rsidP="00C114C0">
      <w:pPr>
        <w:numPr>
          <w:ilvl w:val="0"/>
          <w:numId w:val="26"/>
        </w:numPr>
        <w:spacing w:after="0"/>
        <w:rPr>
          <w:bCs/>
          <w:iCs/>
        </w:rPr>
      </w:pPr>
      <w:r w:rsidRPr="00D92EF5">
        <w:rPr>
          <w:bCs/>
          <w:iCs/>
        </w:rPr>
        <w:t>Individuals who are members of households with high percentage of people with disabilities</w:t>
      </w:r>
    </w:p>
    <w:p w14:paraId="04C93E49" w14:textId="77777777" w:rsidR="008F31C6" w:rsidRPr="00D92EF5" w:rsidRDefault="008F31C6" w:rsidP="00C114C0">
      <w:pPr>
        <w:numPr>
          <w:ilvl w:val="0"/>
          <w:numId w:val="26"/>
        </w:numPr>
        <w:spacing w:after="0"/>
        <w:rPr>
          <w:bCs/>
          <w:iCs/>
        </w:rPr>
      </w:pPr>
      <w:r w:rsidRPr="00D92EF5">
        <w:rPr>
          <w:bCs/>
          <w:iCs/>
        </w:rPr>
        <w:t>Individuals within age group between 18 and 40, especially those who graduated recently;</w:t>
      </w:r>
    </w:p>
    <w:p w14:paraId="37672114" w14:textId="77777777" w:rsidR="008F31C6" w:rsidRPr="00D92EF5" w:rsidRDefault="008F31C6" w:rsidP="00C114C0">
      <w:pPr>
        <w:numPr>
          <w:ilvl w:val="0"/>
          <w:numId w:val="26"/>
        </w:numPr>
        <w:spacing w:after="0"/>
        <w:rPr>
          <w:bCs/>
          <w:iCs/>
        </w:rPr>
      </w:pPr>
      <w:r w:rsidRPr="00D92EF5">
        <w:rPr>
          <w:bCs/>
          <w:iCs/>
        </w:rPr>
        <w:t>Individuals who are unemployed for the past 3 months (based on Social Security Records);</w:t>
      </w:r>
    </w:p>
    <w:p w14:paraId="0A6CDCB4" w14:textId="77777777" w:rsidR="008F31C6" w:rsidRPr="00D92EF5" w:rsidRDefault="008F31C6" w:rsidP="00C114C0">
      <w:pPr>
        <w:numPr>
          <w:ilvl w:val="0"/>
          <w:numId w:val="26"/>
        </w:numPr>
        <w:spacing w:after="0"/>
        <w:rPr>
          <w:bCs/>
          <w:iCs/>
        </w:rPr>
      </w:pPr>
      <w:r w:rsidRPr="00D92EF5">
        <w:rPr>
          <w:bCs/>
          <w:iCs/>
        </w:rPr>
        <w:t>Individuals who are from districts with high concentration of Syrian refugees;</w:t>
      </w:r>
    </w:p>
    <w:p w14:paraId="0D5B901A" w14:textId="77777777" w:rsidR="008F31C6" w:rsidRPr="00D92EF5" w:rsidRDefault="008F31C6" w:rsidP="00C114C0">
      <w:pPr>
        <w:numPr>
          <w:ilvl w:val="0"/>
          <w:numId w:val="26"/>
        </w:numPr>
        <w:spacing w:after="0"/>
        <w:rPr>
          <w:bCs/>
          <w:iCs/>
        </w:rPr>
      </w:pPr>
      <w:r w:rsidRPr="00D92EF5">
        <w:rPr>
          <w:bCs/>
          <w:iCs/>
        </w:rPr>
        <w:t>UNHCR registered refugees or individuals who are from Syrian refugee households, which is not registered with UNHCR;</w:t>
      </w:r>
    </w:p>
    <w:p w14:paraId="0CB3FD74" w14:textId="77777777" w:rsidR="008F31C6" w:rsidRPr="00D92EF5" w:rsidRDefault="008F31C6" w:rsidP="00C114C0">
      <w:pPr>
        <w:numPr>
          <w:ilvl w:val="0"/>
          <w:numId w:val="26"/>
        </w:numPr>
        <w:spacing w:after="0"/>
        <w:rPr>
          <w:bCs/>
          <w:iCs/>
        </w:rPr>
      </w:pPr>
      <w:r w:rsidRPr="00D92EF5">
        <w:rPr>
          <w:bCs/>
          <w:iCs/>
        </w:rPr>
        <w:t>Individuals who live in urban poverty pockets or social housing</w:t>
      </w:r>
    </w:p>
    <w:p w14:paraId="700F13F8" w14:textId="77777777" w:rsidR="008F31C6" w:rsidRPr="008F31C6" w:rsidRDefault="008F31C6" w:rsidP="008F31C6"/>
    <w:p w14:paraId="0D7E0037" w14:textId="77777777" w:rsidR="005E763F" w:rsidRDefault="008F1069" w:rsidP="009F4BE8">
      <w:pPr>
        <w:pStyle w:val="Heading1"/>
      </w:pPr>
      <w:r>
        <w:t>Legal Context</w:t>
      </w:r>
      <w:r w:rsidR="00041F71">
        <w:t xml:space="preserve"> </w:t>
      </w:r>
    </w:p>
    <w:p w14:paraId="35DAFFD8" w14:textId="77777777" w:rsidR="005E763F" w:rsidRDefault="005E763F" w:rsidP="005E763F"/>
    <w:p w14:paraId="2D95CE59" w14:textId="77777777" w:rsidR="005E763F" w:rsidRPr="001858C0" w:rsidRDefault="005E763F" w:rsidP="005E763F">
      <w:pPr>
        <w:rPr>
          <w:rFonts w:cs="Arial"/>
          <w:sz w:val="20"/>
          <w:szCs w:val="20"/>
        </w:rPr>
      </w:pPr>
      <w:r w:rsidRPr="001858C0">
        <w:rPr>
          <w:rFonts w:cs="Arial"/>
          <w:sz w:val="20"/>
          <w:szCs w:val="20"/>
        </w:rPr>
        <w:t xml:space="preserve">This project document shall be the instrument referred to as such in Article 1 of the Standard Basic Assistance Agreement between the Government of </w:t>
      </w:r>
      <w:r w:rsidR="00DF6146" w:rsidRPr="001858C0">
        <w:rPr>
          <w:rFonts w:cs="Arial"/>
          <w:sz w:val="20"/>
          <w:szCs w:val="20"/>
        </w:rPr>
        <w:t>Jordan</w:t>
      </w:r>
      <w:r w:rsidRPr="001858C0">
        <w:rPr>
          <w:rFonts w:cs="Arial"/>
          <w:sz w:val="20"/>
          <w:szCs w:val="20"/>
        </w:rPr>
        <w:t xml:space="preserve"> and UNDP, signed on </w:t>
      </w:r>
      <w:r w:rsidR="00F5374D" w:rsidRPr="001858C0">
        <w:rPr>
          <w:rFonts w:cs="Arial"/>
          <w:sz w:val="20"/>
          <w:szCs w:val="20"/>
        </w:rPr>
        <w:t>12 January 1976</w:t>
      </w:r>
      <w:r w:rsidRPr="001858C0">
        <w:rPr>
          <w:rFonts w:cs="Arial"/>
          <w:sz w:val="20"/>
          <w:szCs w:val="20"/>
        </w:rPr>
        <w:t>. All references in the SBAA to “Executing Agency” shall be deemed to refer to “Implementing Partner.”</w:t>
      </w:r>
    </w:p>
    <w:p w14:paraId="6719EDBE" w14:textId="77777777" w:rsidR="005E763F" w:rsidRPr="001858C0" w:rsidRDefault="005E763F" w:rsidP="005E763F">
      <w:pPr>
        <w:rPr>
          <w:rFonts w:cs="Arial"/>
          <w:sz w:val="20"/>
          <w:szCs w:val="20"/>
        </w:rPr>
      </w:pPr>
    </w:p>
    <w:p w14:paraId="68C281D0" w14:textId="77777777" w:rsidR="00C3114E" w:rsidRPr="00C3114E" w:rsidRDefault="00C3114E" w:rsidP="005E763F">
      <w:pPr>
        <w:rPr>
          <w:rFonts w:cs="Arial"/>
          <w:sz w:val="20"/>
          <w:szCs w:val="20"/>
        </w:rPr>
      </w:pPr>
      <w:r w:rsidRPr="001858C0">
        <w:rPr>
          <w:rFonts w:cs="Arial"/>
          <w:sz w:val="20"/>
          <w:szCs w:val="20"/>
        </w:rPr>
        <w:t xml:space="preserve">This project will be implemented by </w:t>
      </w:r>
      <w:r w:rsidR="00983566" w:rsidRPr="001858C0">
        <w:rPr>
          <w:rFonts w:cs="Arial"/>
          <w:sz w:val="20"/>
          <w:szCs w:val="20"/>
        </w:rPr>
        <w:t xml:space="preserve">[name of entity] </w:t>
      </w:r>
      <w:r w:rsidRPr="001858C0">
        <w:rPr>
          <w:rFonts w:cs="Arial"/>
          <w:sz w:val="20"/>
          <w:szCs w:val="20"/>
        </w:rPr>
        <w:t>(“Implementing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08FB0911" w14:textId="77777777" w:rsidR="00CF1E32" w:rsidRDefault="00CF1E32" w:rsidP="005E763F">
      <w:pPr>
        <w:rPr>
          <w:rFonts w:ascii="Century Gothic" w:hAnsi="Century Gothic"/>
          <w:b/>
          <w:smallCaps/>
          <w:spacing w:val="-2"/>
          <w:sz w:val="28"/>
          <w:szCs w:val="20"/>
        </w:rPr>
      </w:pPr>
    </w:p>
    <w:p w14:paraId="2197985C" w14:textId="77777777" w:rsidR="00CF1E32" w:rsidRPr="00B350E1" w:rsidRDefault="00B350E1" w:rsidP="00C3114E">
      <w:pPr>
        <w:pStyle w:val="Heading1"/>
      </w:pPr>
      <w:r w:rsidRPr="00B350E1">
        <w:t xml:space="preserve">Risk Management </w:t>
      </w:r>
    </w:p>
    <w:p w14:paraId="4FBCCA54" w14:textId="77777777" w:rsidR="005E763F" w:rsidRPr="00DC1C4D" w:rsidRDefault="005E763F" w:rsidP="00331810">
      <w:pPr>
        <w:pStyle w:val="PlainText"/>
        <w:numPr>
          <w:ilvl w:val="0"/>
          <w:numId w:val="12"/>
        </w:numPr>
        <w:ind w:left="360"/>
        <w:jc w:val="both"/>
        <w:rPr>
          <w:rFonts w:ascii="Arial" w:hAnsi="Arial" w:cs="Arial"/>
        </w:rPr>
      </w:pPr>
      <w:r w:rsidRPr="00DC1C4D">
        <w:rPr>
          <w:rFonts w:ascii="Arial" w:hAnsi="Arial" w:cs="Arial"/>
        </w:rPr>
        <w:t xml:space="preserve">UNDP as the Implementing Partner </w:t>
      </w:r>
      <w:r w:rsidR="00950B90">
        <w:rPr>
          <w:rFonts w:ascii="Arial" w:hAnsi="Arial" w:cs="Arial"/>
        </w:rPr>
        <w:t>will</w:t>
      </w:r>
      <w:r w:rsidR="00950B90" w:rsidRPr="00DC1C4D">
        <w:rPr>
          <w:rFonts w:ascii="Arial" w:hAnsi="Arial" w:cs="Arial"/>
        </w:rPr>
        <w:t xml:space="preserve"> </w:t>
      </w:r>
      <w:r w:rsidRPr="00DC1C4D">
        <w:rPr>
          <w:rFonts w:ascii="Arial" w:hAnsi="Arial" w:cs="Arial"/>
        </w:rPr>
        <w:t xml:space="preserve">comply with the policies, procedures and practices of the United Nations </w:t>
      </w:r>
      <w:r>
        <w:rPr>
          <w:rFonts w:ascii="Arial" w:hAnsi="Arial" w:cs="Arial"/>
        </w:rPr>
        <w:t>S</w:t>
      </w:r>
      <w:r w:rsidRPr="00DC1C4D">
        <w:rPr>
          <w:rFonts w:ascii="Arial" w:hAnsi="Arial" w:cs="Arial"/>
        </w:rPr>
        <w:t xml:space="preserve">ecurity </w:t>
      </w:r>
      <w:r>
        <w:rPr>
          <w:rFonts w:ascii="Arial" w:hAnsi="Arial" w:cs="Arial"/>
        </w:rPr>
        <w:t>M</w:t>
      </w:r>
      <w:r w:rsidRPr="00DC1C4D">
        <w:rPr>
          <w:rFonts w:ascii="Arial" w:hAnsi="Arial" w:cs="Arial"/>
        </w:rPr>
        <w:t xml:space="preserve">anagement </w:t>
      </w:r>
      <w:r>
        <w:rPr>
          <w:rFonts w:ascii="Arial" w:hAnsi="Arial" w:cs="Arial"/>
        </w:rPr>
        <w:t>S</w:t>
      </w:r>
      <w:r w:rsidRPr="00DC1C4D">
        <w:rPr>
          <w:rFonts w:ascii="Arial" w:hAnsi="Arial" w:cs="Arial"/>
        </w:rPr>
        <w:t>ystem</w:t>
      </w:r>
      <w:r>
        <w:rPr>
          <w:rFonts w:ascii="Arial" w:hAnsi="Arial" w:cs="Arial"/>
        </w:rPr>
        <w:t xml:space="preserve"> (UNSMS</w:t>
      </w:r>
      <w:r w:rsidRPr="00DC1C4D">
        <w:rPr>
          <w:rFonts w:ascii="Arial" w:hAnsi="Arial" w:cs="Arial"/>
        </w:rPr>
        <w:t>.</w:t>
      </w:r>
      <w:r>
        <w:rPr>
          <w:rFonts w:ascii="Arial" w:hAnsi="Arial" w:cs="Arial"/>
        </w:rPr>
        <w:t>)</w:t>
      </w:r>
    </w:p>
    <w:p w14:paraId="18AAC83E" w14:textId="77777777" w:rsidR="005E763F" w:rsidRPr="00DC1C4D" w:rsidRDefault="005E763F" w:rsidP="005E763F">
      <w:pPr>
        <w:pStyle w:val="PlainText"/>
        <w:ind w:left="360"/>
        <w:jc w:val="both"/>
        <w:rPr>
          <w:rFonts w:ascii="Arial" w:hAnsi="Arial" w:cs="Arial"/>
        </w:rPr>
      </w:pPr>
    </w:p>
    <w:p w14:paraId="6AD0B030" w14:textId="77777777" w:rsidR="005E763F" w:rsidRPr="00DC1C4D" w:rsidRDefault="005E763F" w:rsidP="00331810">
      <w:pPr>
        <w:pStyle w:val="PlainText"/>
        <w:numPr>
          <w:ilvl w:val="0"/>
          <w:numId w:val="12"/>
        </w:numPr>
        <w:spacing w:after="240"/>
        <w:ind w:left="360"/>
        <w:jc w:val="both"/>
        <w:rPr>
          <w:rFonts w:ascii="Arial" w:hAnsi="Arial" w:cs="Arial"/>
        </w:rPr>
      </w:pPr>
      <w:r>
        <w:rPr>
          <w:rFonts w:ascii="Arial" w:hAnsi="Arial" w:cs="Arial"/>
        </w:rPr>
        <w:t xml:space="preserve">UNDP </w:t>
      </w:r>
      <w:r w:rsidR="00602A96" w:rsidRPr="00DC1C4D">
        <w:rPr>
          <w:rFonts w:ascii="Arial" w:hAnsi="Arial" w:cs="Arial"/>
        </w:rPr>
        <w:t xml:space="preserve">as the Implementing Partner </w:t>
      </w:r>
      <w:r w:rsidR="00144D89">
        <w:rPr>
          <w:rFonts w:ascii="Arial" w:hAnsi="Arial" w:cs="Arial"/>
        </w:rPr>
        <w:t>will</w:t>
      </w:r>
      <w:r w:rsidRPr="00DC1C4D">
        <w:rPr>
          <w:rFonts w:ascii="Arial" w:hAnsi="Arial" w:cs="Arial"/>
        </w:rPr>
        <w:t xml:space="preserve"> undertake all reasonable efforts to ensure that none of the [project funds]</w:t>
      </w:r>
      <w:r w:rsidRPr="00DC1C4D">
        <w:rPr>
          <w:rStyle w:val="FootnoteReference"/>
          <w:rFonts w:cs="Arial"/>
        </w:rPr>
        <w:footnoteReference w:id="25"/>
      </w:r>
      <w:r w:rsidRPr="00DC1C4D">
        <w:rPr>
          <w:rFonts w:ascii="Arial" w:hAnsi="Arial" w:cs="Arial"/>
        </w:rPr>
        <w:t xml:space="preserve"> [UNDP funds received pursuant to the Project Document]</w:t>
      </w:r>
      <w:r w:rsidRPr="00DC1C4D">
        <w:rPr>
          <w:rStyle w:val="FootnoteReference"/>
          <w:rFonts w:cs="Arial"/>
        </w:rPr>
        <w:footnoteReference w:id="26"/>
      </w:r>
      <w:r w:rsidRPr="00DC1C4D">
        <w:rPr>
          <w:rFonts w:ascii="Arial" w:hAnsi="Arial" w:cs="Arial"/>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4" w:history="1">
        <w:r w:rsidR="00B26ECA" w:rsidRPr="00B26ECA">
          <w:rPr>
            <w:rStyle w:val="Hyperlink"/>
            <w:rFonts w:ascii="Arial" w:hAnsi="Arial" w:cs="Arial"/>
          </w:rPr>
          <w:t>http://www.un.org/sc/committees/1267/aq_sanctions_list.shtml</w:t>
        </w:r>
      </w:hyperlink>
      <w:r w:rsidRPr="00DC1C4D">
        <w:rPr>
          <w:rFonts w:ascii="Arial" w:hAnsi="Arial" w:cs="Arial"/>
          <w:color w:val="000080"/>
        </w:rPr>
        <w:t xml:space="preserve">. </w:t>
      </w:r>
      <w:r w:rsidRPr="00DC1C4D">
        <w:rPr>
          <w:rFonts w:ascii="Arial" w:hAnsi="Arial" w:cs="Arial"/>
        </w:rPr>
        <w:t xml:space="preserve"> This provision must be included in all sub-contracts or sub-agreements entered into under this Project Document.</w:t>
      </w:r>
    </w:p>
    <w:p w14:paraId="63040E15" w14:textId="77777777" w:rsidR="005E763F" w:rsidRPr="003C2517" w:rsidRDefault="00950B90" w:rsidP="00331810">
      <w:pPr>
        <w:pStyle w:val="ColorfulList-Accent12"/>
        <w:numPr>
          <w:ilvl w:val="0"/>
          <w:numId w:val="12"/>
        </w:numPr>
        <w:spacing w:before="100" w:beforeAutospacing="1" w:after="240"/>
        <w:ind w:left="360"/>
        <w:rPr>
          <w:rFonts w:cs="Arial"/>
          <w:sz w:val="20"/>
          <w:szCs w:val="20"/>
          <w:u w:val="single"/>
        </w:rPr>
      </w:pPr>
      <w:r>
        <w:rPr>
          <w:rFonts w:cs="Arial"/>
          <w:sz w:val="20"/>
          <w:szCs w:val="20"/>
        </w:rPr>
        <w:t>S</w:t>
      </w:r>
      <w:r w:rsidR="005E763F" w:rsidRPr="003C2517">
        <w:rPr>
          <w:rFonts w:cs="Arial"/>
          <w:sz w:val="20"/>
          <w:szCs w:val="20"/>
        </w:rPr>
        <w:t xml:space="preserve">ocial and environmental sustainability will be enhanced through application of the UNDP Social and Environmental Standards (http://www.undp.org/ses) and related Accountability Mechanism (http://www.undp.org/secu-srm).  </w:t>
      </w:r>
      <w:r w:rsidR="005E763F" w:rsidRPr="003C2517">
        <w:rPr>
          <w:rFonts w:cs="Arial"/>
          <w:color w:val="000000"/>
          <w:sz w:val="20"/>
          <w:szCs w:val="20"/>
        </w:rPr>
        <w:t> </w:t>
      </w:r>
    </w:p>
    <w:p w14:paraId="2D9D2428" w14:textId="77777777" w:rsidR="005E763F" w:rsidRPr="003C2517" w:rsidRDefault="00B26ECA" w:rsidP="00331810">
      <w:pPr>
        <w:pStyle w:val="Default"/>
        <w:numPr>
          <w:ilvl w:val="0"/>
          <w:numId w:val="12"/>
        </w:numPr>
        <w:ind w:left="360"/>
        <w:jc w:val="both"/>
        <w:rPr>
          <w:rFonts w:ascii="Arial" w:hAnsi="Arial" w:cs="Arial"/>
          <w:sz w:val="20"/>
          <w:szCs w:val="20"/>
        </w:rPr>
      </w:pPr>
      <w:r>
        <w:rPr>
          <w:rFonts w:ascii="Arial" w:hAnsi="Arial" w:cs="Arial"/>
          <w:color w:val="101010"/>
          <w:spacing w:val="-6"/>
          <w:kern w:val="1"/>
          <w:sz w:val="20"/>
          <w:szCs w:val="20"/>
        </w:rPr>
        <w:lastRenderedPageBreak/>
        <w:t>UNDP as t</w:t>
      </w:r>
      <w:r w:rsidRPr="003C2517">
        <w:rPr>
          <w:rFonts w:ascii="Arial" w:hAnsi="Arial" w:cs="Arial"/>
          <w:color w:val="101010"/>
          <w:spacing w:val="-6"/>
          <w:kern w:val="1"/>
          <w:sz w:val="20"/>
          <w:szCs w:val="20"/>
        </w:rPr>
        <w:t xml:space="preserve">he </w:t>
      </w:r>
      <w:r w:rsidR="005E763F" w:rsidRPr="003C2517">
        <w:rPr>
          <w:rFonts w:ascii="Arial" w:hAnsi="Arial" w:cs="Arial"/>
          <w:color w:val="101010"/>
          <w:spacing w:val="-6"/>
          <w:kern w:val="1"/>
          <w:sz w:val="20"/>
          <w:szCs w:val="20"/>
        </w:rPr>
        <w:t xml:space="preserve">Implementing Partner </w:t>
      </w:r>
      <w:r w:rsidR="00950B90">
        <w:rPr>
          <w:rFonts w:ascii="Arial" w:hAnsi="Arial" w:cs="Arial"/>
          <w:color w:val="101010"/>
          <w:spacing w:val="-6"/>
          <w:kern w:val="1"/>
          <w:sz w:val="20"/>
          <w:szCs w:val="20"/>
        </w:rPr>
        <w:t>will</w:t>
      </w:r>
      <w:r w:rsidR="005E763F" w:rsidRPr="003C2517">
        <w:rPr>
          <w:rFonts w:ascii="Arial" w:hAnsi="Arial" w:cs="Arial"/>
          <w:color w:val="101010"/>
          <w:spacing w:val="-6"/>
          <w:kern w:val="1"/>
          <w:sz w:val="20"/>
          <w:szCs w:val="20"/>
        </w:rPr>
        <w:t xml:space="preserve">: (a) conduct project and programme-related activities in a manner consistent with the UNDP Social and Environmental Standards, (b) implement any management or mitigation plan prepared for the project or programme to comply with such standards, </w:t>
      </w:r>
      <w:r w:rsidR="005E763F">
        <w:rPr>
          <w:rFonts w:ascii="Arial" w:hAnsi="Arial" w:cs="Arial"/>
          <w:color w:val="101010"/>
          <w:spacing w:val="-6"/>
          <w:kern w:val="1"/>
          <w:sz w:val="20"/>
          <w:szCs w:val="20"/>
        </w:rPr>
        <w:t>and</w:t>
      </w:r>
      <w:r w:rsidR="005E763F" w:rsidRPr="003C2517">
        <w:rPr>
          <w:rFonts w:ascii="Arial" w:hAnsi="Arial" w:cs="Arial"/>
          <w:color w:val="101010"/>
          <w:spacing w:val="-6"/>
          <w:kern w:val="1"/>
          <w:sz w:val="20"/>
          <w:szCs w:val="20"/>
        </w:rPr>
        <w:t xml:space="preserve"> (c) engage in a constructive and timely manner to address any concerns and complaints raised through the Accountability Mechanism. </w:t>
      </w:r>
      <w:r w:rsidR="005E763F" w:rsidRPr="003C2517">
        <w:rPr>
          <w:rFonts w:ascii="Arial" w:hAnsi="Arial" w:cs="Arial"/>
          <w:color w:val="141414"/>
          <w:spacing w:val="-4"/>
          <w:sz w:val="20"/>
          <w:szCs w:val="20"/>
          <w:lang w:val="en-GB"/>
        </w:rPr>
        <w:t>UNDP</w:t>
      </w:r>
      <w:r w:rsidR="005E763F" w:rsidRPr="003C2517">
        <w:rPr>
          <w:rFonts w:ascii="Arial" w:hAnsi="Arial" w:cs="Arial"/>
          <w:sz w:val="20"/>
          <w:szCs w:val="20"/>
          <w:lang w:val="en-GB"/>
        </w:rPr>
        <w:t xml:space="preserve"> will seek to ensure that communities and other project stakeholders are informed of and have access to the Accountability Mechanism. </w:t>
      </w:r>
    </w:p>
    <w:p w14:paraId="0080D4EC" w14:textId="77777777" w:rsidR="005E763F" w:rsidRDefault="005E763F" w:rsidP="00331810">
      <w:pPr>
        <w:pStyle w:val="ColorfulList-Accent12"/>
        <w:numPr>
          <w:ilvl w:val="0"/>
          <w:numId w:val="12"/>
        </w:numPr>
        <w:spacing w:before="240" w:after="240"/>
        <w:ind w:left="360"/>
        <w:rPr>
          <w:rFonts w:cs="Arial"/>
          <w:spacing w:val="-4"/>
          <w:sz w:val="20"/>
          <w:szCs w:val="20"/>
        </w:rPr>
      </w:pPr>
      <w:r w:rsidRPr="003C2517">
        <w:rPr>
          <w:rFonts w:cs="Arial"/>
          <w:spacing w:val="-4"/>
          <w:sz w:val="20"/>
          <w:szCs w:val="20"/>
        </w:rPr>
        <w:t xml:space="preserve">All signatories to the Project Document shall cooperate in good faith with any exercise to evaluate </w:t>
      </w:r>
      <w:r>
        <w:rPr>
          <w:rFonts w:cs="Arial"/>
          <w:spacing w:val="-4"/>
          <w:sz w:val="20"/>
          <w:szCs w:val="20"/>
        </w:rPr>
        <w:t xml:space="preserve">any programme or project-related commitments or </w:t>
      </w:r>
      <w:r w:rsidRPr="003C2517">
        <w:rPr>
          <w:rFonts w:cs="Arial"/>
          <w:spacing w:val="-4"/>
          <w:sz w:val="20"/>
          <w:szCs w:val="20"/>
        </w:rPr>
        <w:t>compliance with the UNDP Soc</w:t>
      </w:r>
      <w:r>
        <w:rPr>
          <w:rFonts w:cs="Arial"/>
          <w:spacing w:val="-4"/>
          <w:sz w:val="20"/>
          <w:szCs w:val="20"/>
        </w:rPr>
        <w:t xml:space="preserve">ial and Environmental Standards. This includes providing access to </w:t>
      </w:r>
      <w:r w:rsidRPr="003C2517">
        <w:rPr>
          <w:rFonts w:cs="Arial"/>
          <w:spacing w:val="-4"/>
          <w:sz w:val="20"/>
          <w:szCs w:val="20"/>
        </w:rPr>
        <w:t xml:space="preserve">project sites, relevant personnel, </w:t>
      </w:r>
      <w:r>
        <w:rPr>
          <w:rFonts w:cs="Arial"/>
          <w:spacing w:val="-4"/>
          <w:sz w:val="20"/>
          <w:szCs w:val="20"/>
        </w:rPr>
        <w:t>information, and documentation.</w:t>
      </w:r>
    </w:p>
    <w:p w14:paraId="697512A9" w14:textId="77777777" w:rsidR="00C301BF" w:rsidRPr="00C301BF" w:rsidRDefault="00C301BF" w:rsidP="00331810">
      <w:pPr>
        <w:numPr>
          <w:ilvl w:val="0"/>
          <w:numId w:val="12"/>
        </w:numPr>
        <w:autoSpaceDE w:val="0"/>
        <w:autoSpaceDN w:val="0"/>
        <w:adjustRightInd w:val="0"/>
        <w:spacing w:after="0"/>
        <w:ind w:left="360"/>
        <w:rPr>
          <w:rFonts w:eastAsia="Calibri" w:cs="Arial"/>
          <w:color w:val="000000"/>
          <w:sz w:val="20"/>
          <w:szCs w:val="20"/>
          <w:lang w:val="en-US"/>
        </w:rPr>
      </w:pPr>
      <w:r>
        <w:rPr>
          <w:rFonts w:eastAsia="Calibri" w:cs="Arial"/>
          <w:color w:val="000000"/>
          <w:sz w:val="20"/>
          <w:szCs w:val="20"/>
          <w:lang w:val="en-US"/>
        </w:rPr>
        <w:t>UNDP as t</w:t>
      </w:r>
      <w:r w:rsidR="00B26ECA" w:rsidRPr="00E168B8">
        <w:rPr>
          <w:rFonts w:eastAsia="Calibri" w:cs="Arial"/>
          <w:color w:val="000000"/>
          <w:sz w:val="20"/>
          <w:szCs w:val="20"/>
          <w:lang w:val="en-US"/>
        </w:rPr>
        <w:t xml:space="preserve">he Implementing Partner </w:t>
      </w:r>
      <w:r w:rsidR="00950B90">
        <w:rPr>
          <w:rFonts w:eastAsia="Calibri" w:cs="Arial"/>
          <w:color w:val="000000"/>
          <w:sz w:val="20"/>
          <w:szCs w:val="20"/>
          <w:lang w:val="en-US"/>
        </w:rPr>
        <w:t>wi</w:t>
      </w:r>
      <w:r>
        <w:rPr>
          <w:rFonts w:eastAsia="Calibri" w:cs="Arial"/>
          <w:color w:val="000000"/>
          <w:sz w:val="20"/>
          <w:szCs w:val="20"/>
          <w:lang w:val="en-US"/>
        </w:rPr>
        <w:t xml:space="preserve">ll ensure that </w:t>
      </w:r>
      <w:r w:rsidR="00237B80">
        <w:rPr>
          <w:rFonts w:cs="Arial"/>
          <w:sz w:val="20"/>
          <w:szCs w:val="20"/>
        </w:rPr>
        <w:t>the following obligations are binding on each</w:t>
      </w:r>
      <w:r>
        <w:rPr>
          <w:rFonts w:cs="Arial"/>
          <w:sz w:val="20"/>
          <w:szCs w:val="20"/>
        </w:rPr>
        <w:t xml:space="preserve">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p>
    <w:p w14:paraId="4B59CEB0" w14:textId="77777777" w:rsidR="00C301BF" w:rsidRDefault="00C301BF" w:rsidP="004F00E0">
      <w:pPr>
        <w:autoSpaceDE w:val="0"/>
        <w:autoSpaceDN w:val="0"/>
        <w:adjustRightInd w:val="0"/>
        <w:spacing w:after="0"/>
        <w:ind w:left="360"/>
        <w:rPr>
          <w:rFonts w:eastAsia="Calibri" w:cs="Arial"/>
          <w:color w:val="000000"/>
          <w:sz w:val="20"/>
          <w:szCs w:val="20"/>
          <w:lang w:val="en-US"/>
        </w:rPr>
      </w:pPr>
    </w:p>
    <w:p w14:paraId="4F5B0D74" w14:textId="77777777" w:rsidR="00983566" w:rsidRDefault="00983566" w:rsidP="00331810">
      <w:pPr>
        <w:numPr>
          <w:ilvl w:val="1"/>
          <w:numId w:val="12"/>
        </w:numPr>
        <w:autoSpaceDE w:val="0"/>
        <w:autoSpaceDN w:val="0"/>
        <w:adjustRightInd w:val="0"/>
        <w:spacing w:after="0"/>
        <w:rPr>
          <w:rFonts w:cs="Arial"/>
          <w:sz w:val="20"/>
          <w:szCs w:val="20"/>
        </w:rPr>
      </w:pPr>
      <w:r w:rsidRPr="008D60DE">
        <w:rPr>
          <w:rFonts w:cs="Arial"/>
          <w:sz w:val="20"/>
          <w:szCs w:val="20"/>
        </w:rPr>
        <w:t xml:space="preserve">Consistent with the Article III of the SBAA </w:t>
      </w:r>
      <w:r w:rsidRPr="008D60DE">
        <w:rPr>
          <w:rFonts w:cs="Arial"/>
          <w:i/>
          <w:sz w:val="20"/>
          <w:szCs w:val="20"/>
        </w:rPr>
        <w:t>[or the Supplemental Provisions</w:t>
      </w:r>
      <w:r>
        <w:rPr>
          <w:rFonts w:cs="Arial"/>
          <w:i/>
          <w:sz w:val="20"/>
          <w:szCs w:val="20"/>
        </w:rPr>
        <w:t xml:space="preserve"> to the Project Document</w:t>
      </w:r>
      <w:r w:rsidRPr="008D60DE">
        <w:rPr>
          <w:rFonts w:cs="Arial"/>
          <w:i/>
          <w:sz w:val="20"/>
          <w:szCs w:val="20"/>
        </w:rPr>
        <w:t>]</w:t>
      </w:r>
      <w:r w:rsidRPr="008D60DE">
        <w:rPr>
          <w:rFonts w:cs="Arial"/>
          <w:sz w:val="20"/>
          <w:szCs w:val="20"/>
        </w:rPr>
        <w:t xml:space="preserve">, the responsibility for the safety and security of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 xml:space="preserve">and its personnel and property, and of UNDP’s property in </w:t>
      </w:r>
      <w:r>
        <w:rPr>
          <w:rFonts w:cs="Arial"/>
          <w:sz w:val="20"/>
          <w:szCs w:val="20"/>
        </w:rPr>
        <w:t>such</w:t>
      </w:r>
      <w:r w:rsidRPr="008D60DE">
        <w:rPr>
          <w:rFonts w:cs="Arial"/>
          <w:sz w:val="20"/>
          <w:szCs w:val="20"/>
        </w:rPr>
        <w:t xml:space="preserve"> </w:t>
      </w:r>
      <w:r>
        <w:rPr>
          <w:rFonts w:cs="Arial"/>
          <w:sz w:val="20"/>
          <w:szCs w:val="20"/>
        </w:rPr>
        <w:t>responsible party’s, subcontractor’s and sub-recipient’s</w:t>
      </w:r>
      <w:r w:rsidRPr="008D60DE">
        <w:rPr>
          <w:rFonts w:cs="Arial"/>
          <w:sz w:val="20"/>
          <w:szCs w:val="20"/>
        </w:rPr>
        <w:t xml:space="preserve"> custody, rests with </w:t>
      </w:r>
      <w:r>
        <w:rPr>
          <w:rFonts w:cs="Arial"/>
          <w:sz w:val="20"/>
          <w:szCs w:val="20"/>
        </w:rPr>
        <w:t>such responsible party, subcontractor and sub-recipient</w:t>
      </w:r>
      <w:r w:rsidRPr="008D60DE">
        <w:rPr>
          <w:rFonts w:cs="Arial"/>
          <w:sz w:val="20"/>
          <w:szCs w:val="20"/>
        </w:rPr>
        <w:t xml:space="preserve">.  To this end, </w:t>
      </w:r>
      <w:r>
        <w:rPr>
          <w:rFonts w:cs="Arial"/>
          <w:sz w:val="20"/>
          <w:szCs w:val="20"/>
        </w:rPr>
        <w:t>each</w:t>
      </w:r>
      <w:r w:rsidRPr="008D60DE">
        <w:rPr>
          <w:rFonts w:cs="Arial"/>
          <w:sz w:val="20"/>
          <w:szCs w:val="20"/>
        </w:rPr>
        <w:t xml:space="preserve"> </w:t>
      </w:r>
      <w:r>
        <w:rPr>
          <w:rFonts w:cs="Arial"/>
          <w:sz w:val="20"/>
          <w:szCs w:val="20"/>
        </w:rPr>
        <w:t>responsible party, subcontractor and sub-recipient</w:t>
      </w:r>
      <w:r>
        <w:rPr>
          <w:rFonts w:eastAsia="Calibri" w:cs="Arial"/>
          <w:color w:val="000000"/>
          <w:sz w:val="20"/>
          <w:szCs w:val="20"/>
          <w:lang w:val="en-US"/>
        </w:rPr>
        <w:t xml:space="preserve"> </w:t>
      </w:r>
      <w:r w:rsidRPr="008D60DE">
        <w:rPr>
          <w:rFonts w:cs="Arial"/>
          <w:sz w:val="20"/>
          <w:szCs w:val="20"/>
        </w:rPr>
        <w:t>shall</w:t>
      </w:r>
      <w:r>
        <w:rPr>
          <w:rFonts w:cs="Arial"/>
          <w:sz w:val="20"/>
          <w:szCs w:val="20"/>
        </w:rPr>
        <w:t>:</w:t>
      </w:r>
    </w:p>
    <w:p w14:paraId="731FFAF9" w14:textId="77777777" w:rsidR="00983566" w:rsidRPr="00D46469" w:rsidRDefault="00983566" w:rsidP="00331810">
      <w:pPr>
        <w:numPr>
          <w:ilvl w:val="2"/>
          <w:numId w:val="12"/>
        </w:numPr>
        <w:rPr>
          <w:rFonts w:cs="Arial"/>
          <w:sz w:val="20"/>
          <w:szCs w:val="20"/>
        </w:rPr>
      </w:pPr>
      <w:r w:rsidRPr="00D46469">
        <w:rPr>
          <w:rFonts w:cs="Arial"/>
          <w:sz w:val="20"/>
          <w:szCs w:val="20"/>
        </w:rPr>
        <w:t>put in place an appropriate security plan and maintain the security plan, taking into account the security situation in the country where the project is being carried;</w:t>
      </w:r>
    </w:p>
    <w:p w14:paraId="2CEC0883" w14:textId="77777777" w:rsidR="00983566" w:rsidRPr="00D46469" w:rsidRDefault="00983566" w:rsidP="00331810">
      <w:pPr>
        <w:numPr>
          <w:ilvl w:val="2"/>
          <w:numId w:val="12"/>
        </w:numPr>
        <w:rPr>
          <w:rFonts w:cs="Arial"/>
          <w:sz w:val="20"/>
          <w:szCs w:val="20"/>
        </w:rPr>
      </w:pPr>
      <w:r w:rsidRPr="00D46469">
        <w:rPr>
          <w:rFonts w:cs="Arial"/>
          <w:sz w:val="20"/>
          <w:szCs w:val="20"/>
        </w:rPr>
        <w:t xml:space="preserve">assume all risks and liabilities related to </w:t>
      </w:r>
      <w:r>
        <w:rPr>
          <w:rFonts w:cs="Arial"/>
          <w:sz w:val="20"/>
          <w:szCs w:val="20"/>
        </w:rPr>
        <w:t>such</w:t>
      </w:r>
      <w:r w:rsidRPr="008D60DE">
        <w:rPr>
          <w:rFonts w:cs="Arial"/>
          <w:sz w:val="20"/>
          <w:szCs w:val="20"/>
        </w:rPr>
        <w:t xml:space="preserve"> </w:t>
      </w:r>
      <w:r>
        <w:rPr>
          <w:rFonts w:cs="Arial"/>
          <w:sz w:val="20"/>
          <w:szCs w:val="20"/>
        </w:rPr>
        <w:t>responsible party’s, subcontractor’s and sub-recipient’s</w:t>
      </w:r>
      <w:r w:rsidRPr="008D60DE">
        <w:rPr>
          <w:rFonts w:cs="Arial"/>
          <w:sz w:val="20"/>
          <w:szCs w:val="20"/>
        </w:rPr>
        <w:t xml:space="preserve"> </w:t>
      </w:r>
      <w:r w:rsidRPr="00D46469">
        <w:rPr>
          <w:rFonts w:cs="Arial"/>
          <w:sz w:val="20"/>
          <w:szCs w:val="20"/>
        </w:rPr>
        <w:t>security, and the full implementation of the security plan.</w:t>
      </w:r>
    </w:p>
    <w:p w14:paraId="760F4C59" w14:textId="77777777" w:rsidR="00983566" w:rsidRDefault="00983566" w:rsidP="00983566">
      <w:pPr>
        <w:autoSpaceDE w:val="0"/>
        <w:autoSpaceDN w:val="0"/>
        <w:adjustRightInd w:val="0"/>
        <w:spacing w:after="0"/>
        <w:ind w:left="1440"/>
        <w:rPr>
          <w:rFonts w:cs="Arial"/>
          <w:sz w:val="20"/>
          <w:szCs w:val="20"/>
        </w:rPr>
      </w:pPr>
    </w:p>
    <w:p w14:paraId="43F0EC77" w14:textId="77777777" w:rsidR="00983566" w:rsidRDefault="00983566" w:rsidP="00331810">
      <w:pPr>
        <w:numPr>
          <w:ilvl w:val="1"/>
          <w:numId w:val="12"/>
        </w:numPr>
        <w:autoSpaceDE w:val="0"/>
        <w:autoSpaceDN w:val="0"/>
        <w:adjustRightInd w:val="0"/>
        <w:spacing w:after="0"/>
        <w:rPr>
          <w:rFonts w:cs="Arial"/>
          <w:sz w:val="20"/>
          <w:szCs w:val="20"/>
        </w:rPr>
      </w:pPr>
      <w:r w:rsidRPr="008D60DE">
        <w:rPr>
          <w:rFonts w:cs="Arial"/>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the </w:t>
      </w:r>
      <w:r>
        <w:rPr>
          <w:rFonts w:cs="Arial"/>
          <w:sz w:val="20"/>
          <w:szCs w:val="20"/>
        </w:rPr>
        <w:t>responsible party’s, subcontractor’s and sub-recipient’s</w:t>
      </w:r>
      <w:r w:rsidRPr="008D60DE">
        <w:rPr>
          <w:rFonts w:cs="Arial"/>
          <w:sz w:val="20"/>
          <w:szCs w:val="20"/>
        </w:rPr>
        <w:t xml:space="preserve"> obligations under this Project Document.</w:t>
      </w:r>
    </w:p>
    <w:p w14:paraId="0CAC6E12" w14:textId="77777777" w:rsidR="00983566" w:rsidRPr="00983566" w:rsidRDefault="00983566" w:rsidP="00983566">
      <w:pPr>
        <w:autoSpaceDE w:val="0"/>
        <w:autoSpaceDN w:val="0"/>
        <w:adjustRightInd w:val="0"/>
        <w:spacing w:after="0"/>
        <w:ind w:left="1440"/>
        <w:rPr>
          <w:rFonts w:cs="Arial"/>
          <w:sz w:val="20"/>
          <w:szCs w:val="20"/>
        </w:rPr>
      </w:pPr>
    </w:p>
    <w:p w14:paraId="4E075E0A" w14:textId="77777777" w:rsidR="00B26ECA" w:rsidRPr="00E168B8" w:rsidRDefault="00123A7A" w:rsidP="00331810">
      <w:pPr>
        <w:numPr>
          <w:ilvl w:val="1"/>
          <w:numId w:val="12"/>
        </w:numPr>
        <w:autoSpaceDE w:val="0"/>
        <w:autoSpaceDN w:val="0"/>
        <w:adjustRightInd w:val="0"/>
        <w:spacing w:after="0"/>
        <w:rPr>
          <w:rFonts w:eastAsia="Calibri" w:cs="Arial"/>
          <w:color w:val="000000"/>
          <w:sz w:val="20"/>
          <w:szCs w:val="20"/>
          <w:lang w:val="en-US"/>
        </w:rPr>
      </w:pPr>
      <w:r>
        <w:rPr>
          <w:rFonts w:cs="Arial"/>
          <w:sz w:val="20"/>
          <w:szCs w:val="20"/>
        </w:rPr>
        <w:t xml:space="preserve">Each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r w:rsidR="00C301BF">
        <w:rPr>
          <w:rFonts w:eastAsia="Calibri" w:cs="Arial"/>
          <w:color w:val="000000"/>
          <w:sz w:val="20"/>
          <w:szCs w:val="20"/>
          <w:lang w:val="en-US"/>
        </w:rPr>
        <w:t xml:space="preserve"> will </w:t>
      </w:r>
      <w:r w:rsidR="00B26ECA" w:rsidRPr="00E168B8">
        <w:rPr>
          <w:rFonts w:eastAsia="Calibri" w:cs="Arial"/>
          <w:color w:val="000000"/>
          <w:sz w:val="20"/>
          <w:szCs w:val="20"/>
          <w:lang w:val="en-US"/>
        </w:rPr>
        <w:t xml:space="preserve">take appropriate steps to prevent misuse of funds, fraud or corruption, by its officials, consultants, </w:t>
      </w:r>
      <w:r w:rsidR="00237B80">
        <w:rPr>
          <w:rFonts w:eastAsia="Calibri" w:cs="Arial"/>
          <w:color w:val="000000"/>
          <w:sz w:val="20"/>
          <w:szCs w:val="20"/>
          <w:lang w:val="en-US"/>
        </w:rPr>
        <w:t>subcontractors and sub-recipients</w:t>
      </w:r>
      <w:r w:rsidR="00B26ECA" w:rsidRPr="00E168B8">
        <w:rPr>
          <w:rFonts w:eastAsia="Calibri" w:cs="Arial"/>
          <w:color w:val="000000"/>
          <w:sz w:val="20"/>
          <w:szCs w:val="20"/>
          <w:lang w:val="en-US"/>
        </w:rPr>
        <w:t xml:space="preserve"> in implementing the project or programme or using the UNDP funds.  </w:t>
      </w:r>
      <w:r w:rsidR="00C301BF">
        <w:rPr>
          <w:rFonts w:eastAsia="Calibri" w:cs="Arial"/>
          <w:color w:val="000000"/>
          <w:sz w:val="20"/>
          <w:szCs w:val="20"/>
          <w:lang w:val="en-US"/>
        </w:rPr>
        <w:t>It</w:t>
      </w:r>
      <w:r w:rsidR="00B26ECA" w:rsidRPr="00E168B8">
        <w:rPr>
          <w:rFonts w:eastAsia="Calibri" w:cs="Arial"/>
          <w:color w:val="000000"/>
          <w:sz w:val="20"/>
          <w:szCs w:val="20"/>
          <w:lang w:val="en-US"/>
        </w:rPr>
        <w:t xml:space="preserve"> will ensure that </w:t>
      </w:r>
      <w:r w:rsidR="00C301BF">
        <w:rPr>
          <w:rFonts w:eastAsia="Calibri" w:cs="Arial"/>
          <w:color w:val="000000"/>
          <w:sz w:val="20"/>
          <w:szCs w:val="20"/>
          <w:lang w:val="en-US"/>
        </w:rPr>
        <w:t>its</w:t>
      </w:r>
      <w:r w:rsidR="00B26ECA" w:rsidRPr="00E168B8">
        <w:rPr>
          <w:rFonts w:eastAsia="Calibri" w:cs="Arial"/>
          <w:color w:val="000000"/>
          <w:sz w:val="20"/>
          <w:szCs w:val="20"/>
          <w:lang w:val="en-US"/>
        </w:rPr>
        <w:t xml:space="preserve"> financial management, anti-corruption and anti-fraud policies are in place and enforced for all funding received from or through UNDP.</w:t>
      </w:r>
    </w:p>
    <w:p w14:paraId="0BAF73A3" w14:textId="77777777" w:rsidR="00B26ECA" w:rsidRPr="00E168B8" w:rsidRDefault="00B26ECA" w:rsidP="004F00E0">
      <w:pPr>
        <w:autoSpaceDE w:val="0"/>
        <w:autoSpaceDN w:val="0"/>
        <w:adjustRightInd w:val="0"/>
        <w:spacing w:after="0"/>
        <w:ind w:left="360"/>
        <w:rPr>
          <w:rFonts w:eastAsia="Calibri" w:cs="Arial"/>
          <w:color w:val="000000"/>
          <w:sz w:val="20"/>
          <w:szCs w:val="20"/>
          <w:lang w:val="en-US"/>
        </w:rPr>
      </w:pPr>
    </w:p>
    <w:p w14:paraId="64F3EB0F" w14:textId="77777777" w:rsidR="00B26ECA" w:rsidRPr="00E168B8" w:rsidRDefault="00B26ECA" w:rsidP="00331810">
      <w:pPr>
        <w:numPr>
          <w:ilvl w:val="1"/>
          <w:numId w:val="12"/>
        </w:numPr>
        <w:autoSpaceDE w:val="0"/>
        <w:autoSpaceDN w:val="0"/>
        <w:adjustRightInd w:val="0"/>
        <w:spacing w:after="0"/>
        <w:rPr>
          <w:rFonts w:eastAsia="Calibri" w:cs="Arial"/>
          <w:color w:val="000000"/>
          <w:sz w:val="20"/>
          <w:szCs w:val="20"/>
          <w:lang w:val="en-US"/>
        </w:rPr>
      </w:pPr>
      <w:r w:rsidRPr="00E168B8">
        <w:rPr>
          <w:rFonts w:eastAsia="Calibri" w:cs="Arial"/>
          <w:color w:val="000000"/>
          <w:sz w:val="20"/>
          <w:szCs w:val="20"/>
          <w:lang w:val="en-US"/>
        </w:rPr>
        <w:t xml:space="preserve">The requirements of the following documents, then in force at the time of signature of the Project Document, apply to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E168B8">
        <w:rPr>
          <w:rFonts w:eastAsia="Calibri" w:cs="Arial"/>
          <w:color w:val="000000"/>
          <w:sz w:val="20"/>
          <w:szCs w:val="20"/>
          <w:lang w:val="en-US"/>
        </w:rPr>
        <w:t xml:space="preserve">: </w:t>
      </w:r>
      <w:r w:rsidRPr="00E168B8">
        <w:rPr>
          <w:rFonts w:eastAsia="Calibri" w:cs="Arial"/>
          <w:bCs/>
          <w:color w:val="000000"/>
          <w:sz w:val="20"/>
          <w:szCs w:val="20"/>
          <w:lang w:val="en-US"/>
        </w:rPr>
        <w:t>(a)</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Policy on Fraud and other Corrupt Practices and </w:t>
      </w:r>
      <w:r w:rsidRPr="00E168B8">
        <w:rPr>
          <w:rFonts w:eastAsia="Calibri" w:cs="Arial"/>
          <w:bCs/>
          <w:color w:val="000000"/>
          <w:sz w:val="20"/>
          <w:szCs w:val="20"/>
          <w:lang w:val="en-US"/>
        </w:rPr>
        <w:t>(b)</w:t>
      </w:r>
      <w:r w:rsidRPr="00E168B8">
        <w:rPr>
          <w:rFonts w:eastAsia="Calibri" w:cs="Arial"/>
          <w:b/>
          <w:bCs/>
          <w:color w:val="000000"/>
          <w:sz w:val="20"/>
          <w:szCs w:val="20"/>
          <w:lang w:val="en-US"/>
        </w:rPr>
        <w:t xml:space="preserve"> </w:t>
      </w:r>
      <w:r w:rsidRPr="00E168B8">
        <w:rPr>
          <w:rFonts w:eastAsia="Calibri" w:cs="Arial"/>
          <w:color w:val="000000"/>
          <w:sz w:val="20"/>
          <w:szCs w:val="20"/>
          <w:lang w:val="en-US"/>
        </w:rPr>
        <w:t xml:space="preserve">UNDP Office of Audit and Investigations Investigation Guidelines.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E168B8">
        <w:rPr>
          <w:rFonts w:eastAsia="Calibri" w:cs="Arial"/>
          <w:sz w:val="20"/>
          <w:szCs w:val="20"/>
          <w:lang w:val="en-US"/>
        </w:rPr>
        <w:t xml:space="preserve"> agrees to the requirements of the above documents, which are an integral part of this </w:t>
      </w:r>
      <w:r w:rsidR="00237B80">
        <w:rPr>
          <w:rFonts w:eastAsia="Calibri" w:cs="Arial"/>
          <w:sz w:val="20"/>
          <w:szCs w:val="20"/>
          <w:lang w:val="en-US"/>
        </w:rPr>
        <w:t>P</w:t>
      </w:r>
      <w:r w:rsidRPr="00E168B8">
        <w:rPr>
          <w:rFonts w:eastAsia="Calibri" w:cs="Arial"/>
          <w:sz w:val="20"/>
          <w:szCs w:val="20"/>
          <w:lang w:val="en-US"/>
        </w:rPr>
        <w:t xml:space="preserve">roject </w:t>
      </w:r>
      <w:r w:rsidR="00237B80">
        <w:rPr>
          <w:rFonts w:eastAsia="Calibri" w:cs="Arial"/>
          <w:sz w:val="20"/>
          <w:szCs w:val="20"/>
          <w:lang w:val="en-US"/>
        </w:rPr>
        <w:t>D</w:t>
      </w:r>
      <w:r w:rsidRPr="00E168B8">
        <w:rPr>
          <w:rFonts w:eastAsia="Calibri" w:cs="Arial"/>
          <w:sz w:val="20"/>
          <w:szCs w:val="20"/>
          <w:lang w:val="en-US"/>
        </w:rPr>
        <w:t xml:space="preserve">ocument and are available online at www.undp.org. </w:t>
      </w:r>
    </w:p>
    <w:p w14:paraId="7C8D9D26" w14:textId="77777777" w:rsidR="00B26ECA" w:rsidRDefault="00B26ECA" w:rsidP="004F00E0">
      <w:pPr>
        <w:spacing w:after="0"/>
        <w:ind w:left="360"/>
        <w:rPr>
          <w:rFonts w:cs="Arial"/>
          <w:color w:val="000000"/>
          <w:sz w:val="20"/>
          <w:szCs w:val="20"/>
        </w:rPr>
      </w:pPr>
    </w:p>
    <w:p w14:paraId="5FD2C0ED" w14:textId="77777777" w:rsidR="00B26ECA" w:rsidRDefault="00B26ECA" w:rsidP="00331810">
      <w:pPr>
        <w:numPr>
          <w:ilvl w:val="1"/>
          <w:numId w:val="12"/>
        </w:numPr>
        <w:spacing w:after="0"/>
        <w:rPr>
          <w:rFonts w:cs="Arial"/>
          <w:color w:val="000000"/>
          <w:sz w:val="20"/>
          <w:szCs w:val="20"/>
        </w:rPr>
      </w:pPr>
      <w:r w:rsidRPr="001522FF">
        <w:rPr>
          <w:rFonts w:cs="Arial"/>
          <w:color w:val="000000"/>
          <w:sz w:val="20"/>
          <w:szCs w:val="20"/>
        </w:rPr>
        <w:t xml:space="preserve">In the event that an investigation is required, UNDP </w:t>
      </w:r>
      <w:r w:rsidR="00950B90">
        <w:rPr>
          <w:rFonts w:cs="Arial"/>
          <w:color w:val="000000"/>
          <w:sz w:val="20"/>
          <w:szCs w:val="20"/>
        </w:rPr>
        <w:t>will</w:t>
      </w:r>
      <w:r w:rsidRPr="001522FF">
        <w:rPr>
          <w:rFonts w:cs="Arial"/>
          <w:color w:val="000000"/>
          <w:sz w:val="20"/>
          <w:szCs w:val="20"/>
        </w:rPr>
        <w:t xml:space="preserve"> conduct investigations relating to any aspect of UNDP </w:t>
      </w:r>
      <w:r>
        <w:rPr>
          <w:rFonts w:cs="Arial"/>
          <w:color w:val="000000"/>
          <w:sz w:val="20"/>
          <w:szCs w:val="20"/>
        </w:rPr>
        <w:t>programmes</w:t>
      </w:r>
      <w:r w:rsidR="00811314">
        <w:rPr>
          <w:rFonts w:cs="Arial"/>
          <w:color w:val="000000"/>
          <w:sz w:val="20"/>
          <w:szCs w:val="20"/>
        </w:rPr>
        <w:t xml:space="preserve"> and projects</w:t>
      </w:r>
      <w:r w:rsidRPr="001522FF">
        <w:rPr>
          <w:rFonts w:cs="Arial"/>
          <w:color w:val="000000"/>
          <w:sz w:val="20"/>
          <w:szCs w:val="20"/>
        </w:rPr>
        <w:t xml:space="preserve">. </w:t>
      </w:r>
      <w:r w:rsidR="00237B80">
        <w:rPr>
          <w:rFonts w:cs="Arial"/>
          <w:sz w:val="20"/>
          <w:szCs w:val="20"/>
        </w:rPr>
        <w:t>Each 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1522FF">
        <w:rPr>
          <w:rFonts w:cs="Arial"/>
          <w:color w:val="000000"/>
          <w:sz w:val="20"/>
          <w:szCs w:val="20"/>
        </w:rPr>
        <w:t xml:space="preserve"> </w:t>
      </w:r>
      <w:r w:rsidR="00C301BF">
        <w:rPr>
          <w:rFonts w:cs="Arial"/>
          <w:color w:val="000000"/>
          <w:sz w:val="20"/>
          <w:szCs w:val="20"/>
        </w:rPr>
        <w:t>will</w:t>
      </w:r>
      <w:r w:rsidRPr="001522FF">
        <w:rPr>
          <w:rFonts w:cs="Arial"/>
          <w:color w:val="000000"/>
          <w:sz w:val="20"/>
          <w:szCs w:val="20"/>
        </w:rPr>
        <w:t xml:space="preserve"> provide its full cooperation, including making available personnel, relevant documentation, and granting access to </w:t>
      </w:r>
      <w:r w:rsidR="007E63A6">
        <w:rPr>
          <w:rFonts w:cs="Arial"/>
          <w:color w:val="000000"/>
          <w:sz w:val="20"/>
          <w:szCs w:val="20"/>
        </w:rPr>
        <w:t>it</w:t>
      </w:r>
      <w:r w:rsidRPr="001522FF">
        <w:rPr>
          <w:rFonts w:cs="Arial"/>
          <w:color w:val="000000"/>
          <w:sz w:val="20"/>
          <w:szCs w:val="20"/>
        </w:rPr>
        <w:t>s</w:t>
      </w:r>
      <w:r w:rsidRPr="00E168B8">
        <w:rPr>
          <w:rFonts w:eastAsia="Calibri" w:cs="Arial"/>
          <w:color w:val="000000"/>
          <w:sz w:val="20"/>
          <w:szCs w:val="20"/>
          <w:lang w:val="en-US"/>
        </w:rPr>
        <w:t xml:space="preserve"> </w:t>
      </w:r>
      <w:r w:rsidRPr="001522FF">
        <w:rPr>
          <w:rFonts w:cs="Arial"/>
          <w:color w:val="000000"/>
          <w:sz w:val="20"/>
          <w:szCs w:val="20"/>
        </w:rPr>
        <w:t>(and its consultants’, subcontractors’</w:t>
      </w:r>
      <w:r w:rsidR="00237B80">
        <w:rPr>
          <w:rFonts w:cs="Arial"/>
          <w:color w:val="000000"/>
          <w:sz w:val="20"/>
          <w:szCs w:val="20"/>
        </w:rPr>
        <w:t xml:space="preserve"> and sub-recipients’</w:t>
      </w:r>
      <w:r w:rsidRPr="001522FF">
        <w:rPr>
          <w:rFonts w:cs="Arial"/>
          <w:color w:val="000000"/>
          <w:sz w:val="20"/>
          <w:szCs w:val="20"/>
        </w:rPr>
        <w:t xml:space="preserve">) premises, for such purposes at reasonable times and on reasonable conditions as may be required for the purpose of an investigation. Should there be a limitation in meeting this obligation, UNDP shall consult with </w:t>
      </w:r>
      <w:r w:rsidR="007E63A6">
        <w:rPr>
          <w:rFonts w:cs="Arial"/>
          <w:color w:val="000000"/>
          <w:sz w:val="20"/>
          <w:szCs w:val="20"/>
        </w:rPr>
        <w:t>it</w:t>
      </w:r>
      <w:r w:rsidRPr="001522FF">
        <w:rPr>
          <w:rFonts w:cs="Arial"/>
          <w:color w:val="000000"/>
          <w:sz w:val="20"/>
          <w:szCs w:val="20"/>
        </w:rPr>
        <w:t xml:space="preserve"> to find a solution.</w:t>
      </w:r>
    </w:p>
    <w:p w14:paraId="33402355" w14:textId="77777777" w:rsidR="00B26ECA" w:rsidRPr="00E168B8" w:rsidRDefault="00B26ECA" w:rsidP="004F00E0">
      <w:pPr>
        <w:spacing w:after="0"/>
        <w:ind w:left="720"/>
        <w:rPr>
          <w:rFonts w:eastAsia="Calibri" w:cs="Arial"/>
          <w:color w:val="000000"/>
          <w:sz w:val="20"/>
          <w:szCs w:val="20"/>
          <w:lang w:val="en-US"/>
        </w:rPr>
      </w:pPr>
    </w:p>
    <w:p w14:paraId="3E98488C" w14:textId="77777777" w:rsidR="00B26ECA" w:rsidRPr="001522FF" w:rsidRDefault="00123A7A" w:rsidP="00331810">
      <w:pPr>
        <w:numPr>
          <w:ilvl w:val="1"/>
          <w:numId w:val="12"/>
        </w:numPr>
        <w:spacing w:after="0"/>
        <w:rPr>
          <w:rFonts w:cs="Arial"/>
          <w:sz w:val="20"/>
          <w:szCs w:val="20"/>
        </w:rPr>
      </w:pPr>
      <w:r>
        <w:rPr>
          <w:rFonts w:cs="Arial"/>
          <w:sz w:val="20"/>
          <w:szCs w:val="20"/>
        </w:rPr>
        <w:t xml:space="preserve">Each </w:t>
      </w:r>
      <w:r w:rsidR="00237B80">
        <w:rPr>
          <w:rFonts w:cs="Arial"/>
          <w:sz w:val="20"/>
          <w:szCs w:val="20"/>
        </w:rPr>
        <w:t>r</w:t>
      </w:r>
      <w:r>
        <w:rPr>
          <w:rFonts w:cs="Arial"/>
          <w:sz w:val="20"/>
          <w:szCs w:val="20"/>
        </w:rPr>
        <w:t xml:space="preserve">esponsible </w:t>
      </w:r>
      <w:r w:rsidR="00237B80">
        <w:rPr>
          <w:rFonts w:cs="Arial"/>
          <w:sz w:val="20"/>
          <w:szCs w:val="20"/>
        </w:rPr>
        <w:t>p</w:t>
      </w:r>
      <w:r>
        <w:rPr>
          <w:rFonts w:cs="Arial"/>
          <w:sz w:val="20"/>
          <w:szCs w:val="20"/>
        </w:rPr>
        <w:t>arty, subcontractor and sub-recipient</w:t>
      </w:r>
      <w:r w:rsidR="00B26ECA" w:rsidRPr="001522FF">
        <w:rPr>
          <w:rFonts w:cs="Arial"/>
          <w:sz w:val="20"/>
          <w:szCs w:val="20"/>
        </w:rPr>
        <w:t xml:space="preserve"> will promptly inform </w:t>
      </w:r>
      <w:r w:rsidR="007E63A6">
        <w:rPr>
          <w:rFonts w:cs="Arial"/>
          <w:sz w:val="20"/>
          <w:szCs w:val="20"/>
        </w:rPr>
        <w:t>UNDP as the Implementing Partner</w:t>
      </w:r>
      <w:r w:rsidR="00B26ECA" w:rsidRPr="001522FF">
        <w:rPr>
          <w:rFonts w:cs="Arial"/>
          <w:sz w:val="20"/>
          <w:szCs w:val="20"/>
        </w:rPr>
        <w:t xml:space="preserve"> in case of any incidence of inappropriate use of funds, or credible allegation of fraud or corruption with due confidential</w:t>
      </w:r>
      <w:r w:rsidR="009C640C">
        <w:rPr>
          <w:rFonts w:cs="Arial"/>
          <w:sz w:val="20"/>
          <w:szCs w:val="20"/>
        </w:rPr>
        <w:t>it</w:t>
      </w:r>
      <w:r w:rsidR="00B26ECA" w:rsidRPr="001522FF">
        <w:rPr>
          <w:rFonts w:cs="Arial"/>
          <w:sz w:val="20"/>
          <w:szCs w:val="20"/>
        </w:rPr>
        <w:t>y.</w:t>
      </w:r>
    </w:p>
    <w:p w14:paraId="73240670" w14:textId="77777777" w:rsidR="00B26ECA" w:rsidRPr="001522FF" w:rsidRDefault="00B26ECA" w:rsidP="004F00E0">
      <w:pPr>
        <w:spacing w:after="0"/>
        <w:ind w:left="360"/>
        <w:rPr>
          <w:rFonts w:cs="Arial"/>
          <w:sz w:val="20"/>
          <w:szCs w:val="20"/>
        </w:rPr>
      </w:pPr>
    </w:p>
    <w:p w14:paraId="4817DFE3" w14:textId="77777777" w:rsidR="00B26ECA" w:rsidRPr="00E168B8" w:rsidRDefault="00B26ECA" w:rsidP="004F00E0">
      <w:pPr>
        <w:spacing w:after="0"/>
        <w:ind w:left="1440"/>
        <w:rPr>
          <w:rFonts w:eastAsia="Calibri" w:cs="Arial"/>
          <w:color w:val="000000"/>
          <w:sz w:val="20"/>
          <w:szCs w:val="20"/>
          <w:lang w:val="en-US"/>
        </w:rPr>
      </w:pPr>
      <w:r w:rsidRPr="001522FF">
        <w:rPr>
          <w:rFonts w:cs="Arial"/>
          <w:sz w:val="20"/>
          <w:szCs w:val="20"/>
        </w:rPr>
        <w:t xml:space="preserve">Where </w:t>
      </w:r>
      <w:r w:rsidR="007E63A6">
        <w:rPr>
          <w:rFonts w:cs="Arial"/>
          <w:sz w:val="20"/>
          <w:szCs w:val="20"/>
        </w:rPr>
        <w:t>it</w:t>
      </w:r>
      <w:r w:rsidRPr="001522FF">
        <w:rPr>
          <w:rFonts w:cs="Arial"/>
          <w:sz w:val="20"/>
          <w:szCs w:val="20"/>
        </w:rPr>
        <w:t xml:space="preserve"> becomes aware that a UNDP project or activity, in whole or in part, is the focus of investigation for alleged fraud/corruption, </w:t>
      </w:r>
      <w:r w:rsidR="00123A7A">
        <w:rPr>
          <w:rFonts w:cs="Arial"/>
          <w:sz w:val="20"/>
          <w:szCs w:val="20"/>
        </w:rPr>
        <w:t xml:space="preserve">each </w:t>
      </w:r>
      <w:r w:rsidR="00237B80">
        <w:rPr>
          <w:rFonts w:cs="Arial"/>
          <w:sz w:val="20"/>
          <w:szCs w:val="20"/>
        </w:rPr>
        <w:t>r</w:t>
      </w:r>
      <w:r w:rsidR="00123A7A">
        <w:rPr>
          <w:rFonts w:cs="Arial"/>
          <w:sz w:val="20"/>
          <w:szCs w:val="20"/>
        </w:rPr>
        <w:t xml:space="preserve">esponsible </w:t>
      </w:r>
      <w:r w:rsidR="00237B80">
        <w:rPr>
          <w:rFonts w:cs="Arial"/>
          <w:sz w:val="20"/>
          <w:szCs w:val="20"/>
        </w:rPr>
        <w:t>p</w:t>
      </w:r>
      <w:r w:rsidR="00123A7A">
        <w:rPr>
          <w:rFonts w:cs="Arial"/>
          <w:sz w:val="20"/>
          <w:szCs w:val="20"/>
        </w:rPr>
        <w:t>arty, subcontractor and sub-recipient</w:t>
      </w:r>
      <w:r w:rsidRPr="001522FF">
        <w:rPr>
          <w:rFonts w:cs="Arial"/>
          <w:sz w:val="20"/>
          <w:szCs w:val="20"/>
        </w:rPr>
        <w:t xml:space="preserve"> will inform the </w:t>
      </w:r>
      <w:r w:rsidR="007E63A6">
        <w:rPr>
          <w:rFonts w:cs="Arial"/>
          <w:sz w:val="20"/>
          <w:szCs w:val="20"/>
        </w:rPr>
        <w:t xml:space="preserve">UNDP </w:t>
      </w:r>
      <w:r w:rsidRPr="001522FF">
        <w:rPr>
          <w:rFonts w:cs="Arial"/>
          <w:sz w:val="20"/>
          <w:szCs w:val="20"/>
        </w:rPr>
        <w:t xml:space="preserve">Resident Representative/Head </w:t>
      </w:r>
      <w:r>
        <w:rPr>
          <w:rFonts w:cs="Arial"/>
          <w:sz w:val="20"/>
          <w:szCs w:val="20"/>
        </w:rPr>
        <w:t xml:space="preserve">of </w:t>
      </w:r>
      <w:r w:rsidRPr="001522FF">
        <w:rPr>
          <w:rFonts w:cs="Arial"/>
          <w:sz w:val="20"/>
          <w:szCs w:val="20"/>
        </w:rPr>
        <w:t xml:space="preserve">Office, who will promptly inform UNDP’s Office of Audit and Investigations (OAI). </w:t>
      </w:r>
      <w:r w:rsidR="007E63A6">
        <w:rPr>
          <w:rFonts w:cs="Arial"/>
          <w:sz w:val="20"/>
          <w:szCs w:val="20"/>
        </w:rPr>
        <w:t>It will</w:t>
      </w:r>
      <w:r w:rsidRPr="001522FF">
        <w:rPr>
          <w:rFonts w:cs="Arial"/>
          <w:sz w:val="20"/>
          <w:szCs w:val="20"/>
        </w:rPr>
        <w:t xml:space="preserve"> provide regular updates to the </w:t>
      </w:r>
      <w:r w:rsidR="00B40F98">
        <w:rPr>
          <w:rFonts w:cs="Arial"/>
          <w:sz w:val="20"/>
          <w:szCs w:val="20"/>
        </w:rPr>
        <w:t xml:space="preserve">head of </w:t>
      </w:r>
      <w:r w:rsidR="007E63A6">
        <w:rPr>
          <w:rFonts w:cs="Arial"/>
          <w:sz w:val="20"/>
          <w:szCs w:val="20"/>
        </w:rPr>
        <w:t xml:space="preserve">UNDP </w:t>
      </w:r>
      <w:r w:rsidR="00B40F98">
        <w:rPr>
          <w:rFonts w:cs="Arial"/>
          <w:sz w:val="20"/>
          <w:szCs w:val="20"/>
        </w:rPr>
        <w:t>in the country</w:t>
      </w:r>
      <w:r w:rsidRPr="001522FF">
        <w:rPr>
          <w:rFonts w:cs="Arial"/>
          <w:sz w:val="20"/>
          <w:szCs w:val="20"/>
        </w:rPr>
        <w:t xml:space="preserve"> and OAI of the status of, and actions relating to</w:t>
      </w:r>
      <w:r>
        <w:rPr>
          <w:rFonts w:cs="Arial"/>
          <w:sz w:val="20"/>
          <w:szCs w:val="20"/>
        </w:rPr>
        <w:t>,</w:t>
      </w:r>
      <w:r w:rsidRPr="001522FF">
        <w:rPr>
          <w:rFonts w:cs="Arial"/>
          <w:sz w:val="20"/>
          <w:szCs w:val="20"/>
        </w:rPr>
        <w:t xml:space="preserve"> such investigation.</w:t>
      </w:r>
    </w:p>
    <w:p w14:paraId="56F4E234" w14:textId="77777777" w:rsidR="00B26ECA" w:rsidRDefault="00B26ECA" w:rsidP="004F00E0">
      <w:pPr>
        <w:spacing w:after="0"/>
        <w:ind w:left="360"/>
        <w:rPr>
          <w:rFonts w:cs="Arial"/>
          <w:b/>
          <w:sz w:val="20"/>
          <w:szCs w:val="20"/>
        </w:rPr>
      </w:pPr>
    </w:p>
    <w:p w14:paraId="0B96BD76" w14:textId="77777777" w:rsidR="00B26ECA" w:rsidRPr="005212AF" w:rsidRDefault="00B26ECA" w:rsidP="00331810">
      <w:pPr>
        <w:numPr>
          <w:ilvl w:val="1"/>
          <w:numId w:val="12"/>
        </w:numPr>
        <w:spacing w:after="0"/>
        <w:rPr>
          <w:rFonts w:cs="Arial"/>
          <w:i/>
          <w:sz w:val="20"/>
          <w:szCs w:val="20"/>
        </w:rPr>
      </w:pPr>
      <w:r w:rsidRPr="005212AF">
        <w:rPr>
          <w:rFonts w:cs="Arial"/>
          <w:i/>
          <w:sz w:val="20"/>
          <w:szCs w:val="20"/>
        </w:rPr>
        <w:t>Choose one of the three following options:</w:t>
      </w:r>
    </w:p>
    <w:p w14:paraId="30EEFFCE" w14:textId="77777777" w:rsidR="00B26ECA" w:rsidRDefault="00B26ECA" w:rsidP="004F00E0">
      <w:pPr>
        <w:spacing w:after="0"/>
        <w:ind w:left="360"/>
        <w:rPr>
          <w:rFonts w:cs="Arial"/>
          <w:b/>
          <w:sz w:val="20"/>
          <w:szCs w:val="20"/>
        </w:rPr>
      </w:pPr>
    </w:p>
    <w:p w14:paraId="5BD8548E" w14:textId="77777777" w:rsidR="00B26ECA" w:rsidRPr="00E168B8" w:rsidRDefault="00B26ECA" w:rsidP="004F00E0">
      <w:pPr>
        <w:spacing w:after="0"/>
        <w:ind w:left="1440"/>
        <w:rPr>
          <w:rFonts w:eastAsia="Calibri" w:cs="Arial"/>
          <w:color w:val="000000"/>
          <w:sz w:val="20"/>
          <w:szCs w:val="20"/>
          <w:lang w:val="en-US"/>
        </w:rPr>
      </w:pPr>
      <w:r w:rsidRPr="00E168B8">
        <w:rPr>
          <w:rFonts w:cs="Arial"/>
          <w:i/>
          <w:sz w:val="20"/>
          <w:szCs w:val="20"/>
        </w:rPr>
        <w:lastRenderedPageBreak/>
        <w:t>Option 1</w:t>
      </w:r>
      <w:r>
        <w:rPr>
          <w:rFonts w:cs="Arial"/>
          <w:i/>
          <w:sz w:val="20"/>
          <w:szCs w:val="20"/>
        </w:rPr>
        <w:t>:</w:t>
      </w:r>
      <w:r w:rsidRPr="001522FF">
        <w:rPr>
          <w:rFonts w:cs="Arial"/>
          <w:b/>
          <w:sz w:val="20"/>
          <w:szCs w:val="20"/>
        </w:rPr>
        <w:t xml:space="preserve"> </w:t>
      </w:r>
      <w:r w:rsidRPr="001522FF">
        <w:rPr>
          <w:rFonts w:cs="Arial"/>
          <w:sz w:val="20"/>
          <w:szCs w:val="20"/>
        </w:rPr>
        <w:t xml:space="preserve">UNDP </w:t>
      </w:r>
      <w:r w:rsidR="00950B90">
        <w:rPr>
          <w:rFonts w:cs="Arial"/>
          <w:sz w:val="20"/>
          <w:szCs w:val="20"/>
        </w:rPr>
        <w:t>wi</w:t>
      </w:r>
      <w:r w:rsidRPr="001522FF">
        <w:rPr>
          <w:rFonts w:cs="Arial"/>
          <w:sz w:val="20"/>
          <w:szCs w:val="20"/>
        </w:rPr>
        <w:t xml:space="preserve">ll be entitled to a refund </w:t>
      </w:r>
      <w:r w:rsidR="009C640C" w:rsidRPr="001522FF">
        <w:rPr>
          <w:rFonts w:cs="Arial"/>
          <w:sz w:val="20"/>
          <w:szCs w:val="20"/>
        </w:rPr>
        <w:t xml:space="preserve">from the </w:t>
      </w:r>
      <w:r w:rsidR="009C640C">
        <w:rPr>
          <w:rFonts w:cs="Arial"/>
          <w:sz w:val="20"/>
          <w:szCs w:val="20"/>
        </w:rPr>
        <w:t>responsible party, subcontractor or sub-recipient</w:t>
      </w:r>
      <w:r w:rsidR="009C640C" w:rsidRPr="001522FF">
        <w:rPr>
          <w:rFonts w:cs="Arial"/>
          <w:sz w:val="20"/>
          <w:szCs w:val="20"/>
        </w:rPr>
        <w:t xml:space="preserve"> </w:t>
      </w:r>
      <w:r w:rsidRPr="001522FF">
        <w:rPr>
          <w:rFonts w:cs="Arial"/>
          <w:sz w:val="20"/>
          <w:szCs w:val="20"/>
        </w:rPr>
        <w:t>of any funds provided that have been used inappropriately, including through fraud or corruption, or otherwise paid other than in accordance with</w:t>
      </w:r>
      <w:r w:rsidR="00B40F98">
        <w:rPr>
          <w:rFonts w:cs="Arial"/>
          <w:sz w:val="20"/>
          <w:szCs w:val="20"/>
        </w:rPr>
        <w:t xml:space="preserve"> the terms and conditions of this</w:t>
      </w:r>
      <w:r w:rsidRPr="001522FF">
        <w:rPr>
          <w:rFonts w:cs="Arial"/>
          <w:sz w:val="20"/>
          <w:szCs w:val="20"/>
        </w:rPr>
        <w:t xml:space="preserve"> Project Document.  Such amount may be deducted by UNDP from any payment due to </w:t>
      </w:r>
      <w:r w:rsidR="00123A7A">
        <w:rPr>
          <w:rFonts w:cs="Arial"/>
          <w:sz w:val="20"/>
          <w:szCs w:val="20"/>
        </w:rPr>
        <w:t xml:space="preserve">the </w:t>
      </w:r>
      <w:r w:rsidR="009C640C">
        <w:rPr>
          <w:rFonts w:cs="Arial"/>
          <w:sz w:val="20"/>
          <w:szCs w:val="20"/>
        </w:rPr>
        <w:t>responsible party, subcontractor or sub-recipient</w:t>
      </w:r>
      <w:r w:rsidR="00123A7A">
        <w:rPr>
          <w:rFonts w:cs="Arial"/>
          <w:sz w:val="20"/>
          <w:szCs w:val="20"/>
        </w:rPr>
        <w:t xml:space="preserve"> </w:t>
      </w:r>
      <w:r w:rsidRPr="001522FF">
        <w:rPr>
          <w:rFonts w:cs="Arial"/>
          <w:sz w:val="20"/>
          <w:szCs w:val="20"/>
        </w:rPr>
        <w:t>under this or any other agreement.  Recovery of such amount by UNDP sh</w:t>
      </w:r>
      <w:r w:rsidR="009C640C">
        <w:rPr>
          <w:rFonts w:cs="Arial"/>
          <w:sz w:val="20"/>
          <w:szCs w:val="20"/>
        </w:rPr>
        <w:t xml:space="preserve">all not diminish or curtail any responsible party’s, subcontractor’s or sub-recipient’s </w:t>
      </w:r>
      <w:r w:rsidRPr="001522FF">
        <w:rPr>
          <w:rFonts w:cs="Arial"/>
          <w:sz w:val="20"/>
          <w:szCs w:val="20"/>
        </w:rPr>
        <w:t>obligations under this Project Document.</w:t>
      </w:r>
    </w:p>
    <w:p w14:paraId="1530B9CF" w14:textId="77777777" w:rsidR="00B26ECA" w:rsidRDefault="00B26ECA" w:rsidP="004F00E0">
      <w:pPr>
        <w:spacing w:after="0"/>
        <w:ind w:left="1440"/>
        <w:rPr>
          <w:rFonts w:cs="Arial"/>
          <w:b/>
          <w:sz w:val="20"/>
          <w:szCs w:val="20"/>
        </w:rPr>
      </w:pPr>
    </w:p>
    <w:p w14:paraId="0954F519" w14:textId="77777777" w:rsidR="00B26ECA" w:rsidRDefault="00B26ECA" w:rsidP="004F00E0">
      <w:pPr>
        <w:spacing w:after="0"/>
        <w:ind w:left="1440"/>
        <w:rPr>
          <w:rFonts w:cs="Arial"/>
          <w:sz w:val="20"/>
          <w:szCs w:val="20"/>
        </w:rPr>
      </w:pPr>
      <w:r w:rsidRPr="00E168B8">
        <w:rPr>
          <w:rFonts w:cs="Arial"/>
          <w:i/>
          <w:sz w:val="20"/>
          <w:szCs w:val="20"/>
        </w:rPr>
        <w:t>Option 2:</w:t>
      </w:r>
      <w:r>
        <w:rPr>
          <w:rFonts w:cs="Arial"/>
          <w:b/>
          <w:sz w:val="20"/>
          <w:szCs w:val="20"/>
        </w:rPr>
        <w:t xml:space="preserve"> </w:t>
      </w:r>
      <w:r w:rsidR="00123A7A" w:rsidRPr="00123A7A">
        <w:rPr>
          <w:rFonts w:cs="Arial"/>
          <w:sz w:val="20"/>
          <w:szCs w:val="20"/>
        </w:rPr>
        <w:t>Each</w:t>
      </w:r>
      <w:r w:rsidR="00123A7A">
        <w:rPr>
          <w:rFonts w:cs="Arial"/>
          <w:b/>
          <w:sz w:val="20"/>
          <w:szCs w:val="20"/>
        </w:rPr>
        <w:t xml:space="preserve"> </w:t>
      </w:r>
      <w:r w:rsidR="009C640C">
        <w:rPr>
          <w:rFonts w:cs="Arial"/>
          <w:sz w:val="20"/>
          <w:szCs w:val="20"/>
        </w:rPr>
        <w:t>re</w:t>
      </w:r>
      <w:r w:rsidR="00123A7A">
        <w:rPr>
          <w:rFonts w:cs="Arial"/>
          <w:sz w:val="20"/>
          <w:szCs w:val="20"/>
        </w:rPr>
        <w:t xml:space="preserv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agrees that, where applicable, donors to UNDP (including </w:t>
      </w:r>
      <w:r w:rsidR="00B40F98">
        <w:rPr>
          <w:rFonts w:cs="Arial"/>
          <w:sz w:val="20"/>
          <w:szCs w:val="20"/>
        </w:rPr>
        <w:t>the G</w:t>
      </w:r>
      <w:r w:rsidRPr="001522FF">
        <w:rPr>
          <w:rFonts w:cs="Arial"/>
          <w:sz w:val="20"/>
          <w:szCs w:val="20"/>
        </w:rPr>
        <w:t>overnment) whose funding is the source, in whole or in part, of the funds for the activities which are the subject of the Project Document, may seek recourse to</w:t>
      </w:r>
      <w:r w:rsidR="00123A7A">
        <w:rPr>
          <w:rFonts w:cs="Arial"/>
          <w:sz w:val="20"/>
          <w:szCs w:val="20"/>
        </w:rPr>
        <w:t xml:space="preserve"> such</w:t>
      </w:r>
      <w:r w:rsidRPr="001522FF">
        <w:rPr>
          <w:rFonts w:cs="Arial"/>
          <w:sz w:val="20"/>
          <w:szCs w:val="20"/>
        </w:rPr>
        <w:t xml:space="preserv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for the recovery of any funds determined by UNDP to have been used inappropriately, including</w:t>
      </w:r>
      <w:r w:rsidR="009C640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14:paraId="1B4B6AB8" w14:textId="77777777" w:rsidR="00B26ECA" w:rsidRDefault="00B26ECA" w:rsidP="004F00E0">
      <w:pPr>
        <w:spacing w:after="0"/>
        <w:ind w:left="1440"/>
        <w:rPr>
          <w:rFonts w:cs="Arial"/>
          <w:sz w:val="20"/>
          <w:szCs w:val="20"/>
        </w:rPr>
      </w:pPr>
    </w:p>
    <w:p w14:paraId="3749D5E2" w14:textId="77777777" w:rsidR="00B26ECA" w:rsidRPr="001522FF" w:rsidRDefault="00B26ECA" w:rsidP="004F00E0">
      <w:pPr>
        <w:spacing w:after="0"/>
        <w:ind w:left="1440"/>
        <w:rPr>
          <w:rFonts w:cs="Arial"/>
          <w:sz w:val="20"/>
          <w:szCs w:val="20"/>
        </w:rPr>
      </w:pPr>
      <w:r w:rsidRPr="00E168B8">
        <w:rPr>
          <w:rFonts w:cs="Arial"/>
          <w:i/>
          <w:sz w:val="20"/>
          <w:szCs w:val="20"/>
        </w:rPr>
        <w:t>Option 3:</w:t>
      </w:r>
      <w:r w:rsidRPr="001522FF">
        <w:rPr>
          <w:rFonts w:cs="Arial"/>
          <w:sz w:val="20"/>
          <w:szCs w:val="20"/>
        </w:rPr>
        <w:t xml:space="preserve"> UNDP </w:t>
      </w:r>
      <w:r w:rsidR="00950B90">
        <w:rPr>
          <w:rFonts w:cs="Arial"/>
          <w:sz w:val="20"/>
          <w:szCs w:val="20"/>
        </w:rPr>
        <w:t>wi</w:t>
      </w:r>
      <w:r w:rsidRPr="001522FF">
        <w:rPr>
          <w:rFonts w:cs="Arial"/>
          <w:sz w:val="20"/>
          <w:szCs w:val="20"/>
        </w:rPr>
        <w:t xml:space="preserve">ll be entitled to a refund from 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of any funds provided that have been used inappropriately, including through fraud or corruption, or otherwise paid other than in accordance with the terms and conditions of the Project Document.  Such amount may be deducted by UNDP from any payment due to 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under this or any other agreement.  </w:t>
      </w:r>
    </w:p>
    <w:p w14:paraId="269F0C0E" w14:textId="77777777" w:rsidR="00B26ECA" w:rsidRDefault="00B26ECA" w:rsidP="004F00E0">
      <w:pPr>
        <w:spacing w:after="0"/>
        <w:ind w:left="1440"/>
        <w:rPr>
          <w:rFonts w:cs="Arial"/>
          <w:sz w:val="20"/>
          <w:szCs w:val="20"/>
        </w:rPr>
      </w:pPr>
    </w:p>
    <w:p w14:paraId="3E9E3D78" w14:textId="77777777" w:rsidR="00B26ECA" w:rsidRPr="001522FF" w:rsidRDefault="00B26ECA" w:rsidP="004F00E0">
      <w:pPr>
        <w:spacing w:after="0"/>
        <w:ind w:left="1440"/>
        <w:rPr>
          <w:rFonts w:cs="Arial"/>
          <w:sz w:val="20"/>
          <w:szCs w:val="20"/>
        </w:rPr>
      </w:pPr>
      <w:r w:rsidRPr="001522FF">
        <w:rPr>
          <w:rFonts w:cs="Arial"/>
          <w:sz w:val="20"/>
          <w:szCs w:val="20"/>
        </w:rPr>
        <w:t xml:space="preserve">Where such funds have not been refunded to UNDP, </w:t>
      </w:r>
      <w:r w:rsidR="00123A7A">
        <w:rPr>
          <w:rFonts w:cs="Arial"/>
          <w:sz w:val="20"/>
          <w:szCs w:val="20"/>
        </w:rPr>
        <w:t xml:space="preserve">the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 xml:space="preserve">agrees that donors to UNDP (including </w:t>
      </w:r>
      <w:r w:rsidR="00B40F98">
        <w:rPr>
          <w:rFonts w:cs="Arial"/>
          <w:sz w:val="20"/>
          <w:szCs w:val="20"/>
        </w:rPr>
        <w:t>the G</w:t>
      </w:r>
      <w:r w:rsidRPr="001522FF">
        <w:rPr>
          <w:rFonts w:cs="Arial"/>
          <w:sz w:val="20"/>
          <w:szCs w:val="20"/>
        </w:rPr>
        <w:t xml:space="preserve">overnment) whose funding is the source, in whole or in part, of the funds for the activities </w:t>
      </w:r>
      <w:r w:rsidR="00BA13EA">
        <w:rPr>
          <w:rFonts w:cs="Arial"/>
          <w:sz w:val="20"/>
          <w:szCs w:val="20"/>
        </w:rPr>
        <w:t>under this</w:t>
      </w:r>
      <w:r w:rsidRPr="001522FF">
        <w:rPr>
          <w:rFonts w:cs="Arial"/>
          <w:sz w:val="20"/>
          <w:szCs w:val="20"/>
        </w:rPr>
        <w:t xml:space="preserve"> Project Document, may seek recourse to </w:t>
      </w:r>
      <w:r w:rsidR="00123A7A">
        <w:rPr>
          <w:rFonts w:cs="Arial"/>
          <w:sz w:val="20"/>
          <w:szCs w:val="20"/>
        </w:rPr>
        <w:t xml:space="preserve">such </w:t>
      </w:r>
      <w:r w:rsidR="009C640C">
        <w:rPr>
          <w:rFonts w:cs="Arial"/>
          <w:sz w:val="20"/>
          <w:szCs w:val="20"/>
        </w:rPr>
        <w:t>r</w:t>
      </w:r>
      <w:r w:rsidR="00123A7A">
        <w:rPr>
          <w:rFonts w:cs="Arial"/>
          <w:sz w:val="20"/>
          <w:szCs w:val="20"/>
        </w:rPr>
        <w:t xml:space="preserve">esponsible </w:t>
      </w:r>
      <w:r w:rsidR="009C640C">
        <w:rPr>
          <w:rFonts w:cs="Arial"/>
          <w:sz w:val="20"/>
          <w:szCs w:val="20"/>
        </w:rPr>
        <w:t>p</w:t>
      </w:r>
      <w:r w:rsidR="00123A7A">
        <w:rPr>
          <w:rFonts w:cs="Arial"/>
          <w:sz w:val="20"/>
          <w:szCs w:val="20"/>
        </w:rPr>
        <w:t xml:space="preserve">arty, subcontractor or sub-recipient </w:t>
      </w:r>
      <w:r w:rsidRPr="001522FF">
        <w:rPr>
          <w:rFonts w:cs="Arial"/>
          <w:sz w:val="20"/>
          <w:szCs w:val="20"/>
        </w:rPr>
        <w:t>for the recovery of any funds determined by UNDP to have been used inappropriately, including</w:t>
      </w:r>
      <w:r w:rsidR="009C640C">
        <w:rPr>
          <w:rFonts w:cs="Arial"/>
          <w:sz w:val="20"/>
          <w:szCs w:val="20"/>
        </w:rPr>
        <w:t xml:space="preserve"> through</w:t>
      </w:r>
      <w:r w:rsidRPr="001522FF">
        <w:rPr>
          <w:rFonts w:cs="Arial"/>
          <w:sz w:val="20"/>
          <w:szCs w:val="20"/>
        </w:rPr>
        <w:t xml:space="preserve"> fraud or corruption, or otherwise paid other than in accordance with the terms and conditions of the Project Document.</w:t>
      </w:r>
    </w:p>
    <w:p w14:paraId="57A8E9E7" w14:textId="77777777" w:rsidR="00B26ECA" w:rsidRPr="001522FF" w:rsidRDefault="00B26ECA" w:rsidP="004F00E0">
      <w:pPr>
        <w:spacing w:after="0"/>
        <w:ind w:left="1440"/>
        <w:rPr>
          <w:rFonts w:cs="Arial"/>
          <w:sz w:val="20"/>
          <w:szCs w:val="20"/>
        </w:rPr>
      </w:pPr>
    </w:p>
    <w:p w14:paraId="06221D6F" w14:textId="77777777" w:rsidR="00B26ECA" w:rsidRPr="00E168B8" w:rsidRDefault="00B26ECA" w:rsidP="004F00E0">
      <w:pPr>
        <w:spacing w:after="0"/>
        <w:ind w:left="1440"/>
        <w:rPr>
          <w:rFonts w:eastAsia="Calibri" w:cs="Arial"/>
          <w:color w:val="000000"/>
          <w:sz w:val="20"/>
          <w:szCs w:val="20"/>
          <w:lang w:val="en-US"/>
        </w:rPr>
      </w:pPr>
      <w:r w:rsidRPr="00E168B8">
        <w:rPr>
          <w:rFonts w:cs="Arial"/>
          <w:i/>
          <w:sz w:val="20"/>
          <w:szCs w:val="20"/>
          <w:u w:val="single"/>
        </w:rPr>
        <w:t>Note</w:t>
      </w:r>
      <w:r w:rsidRPr="00E168B8">
        <w:rPr>
          <w:rFonts w:cs="Arial"/>
          <w:i/>
          <w:sz w:val="20"/>
          <w:szCs w:val="20"/>
        </w:rPr>
        <w:t>:</w:t>
      </w:r>
      <w:r w:rsidRPr="001522FF">
        <w:rPr>
          <w:rFonts w:cs="Arial"/>
          <w:sz w:val="20"/>
          <w:szCs w:val="20"/>
        </w:rPr>
        <w:t xml:space="preserve">  The term “Project Document” as used in </w:t>
      </w:r>
      <w:r>
        <w:rPr>
          <w:rFonts w:cs="Arial"/>
          <w:sz w:val="20"/>
          <w:szCs w:val="20"/>
        </w:rPr>
        <w:t>this clause</w:t>
      </w:r>
      <w:r w:rsidRPr="001522FF">
        <w:rPr>
          <w:rFonts w:cs="Arial"/>
          <w:sz w:val="20"/>
          <w:szCs w:val="20"/>
        </w:rPr>
        <w:t xml:space="preserve"> shall be deemed to include any relevant subsidiary agreement further to the Project Document</w:t>
      </w:r>
      <w:r w:rsidR="009C640C">
        <w:rPr>
          <w:rFonts w:cs="Arial"/>
          <w:sz w:val="20"/>
          <w:szCs w:val="20"/>
        </w:rPr>
        <w:t>, including those with responsible parties, subcontractors and sub-recipients</w:t>
      </w:r>
      <w:r w:rsidRPr="001522FF">
        <w:rPr>
          <w:rFonts w:cs="Arial"/>
          <w:sz w:val="20"/>
          <w:szCs w:val="20"/>
        </w:rPr>
        <w:t>.</w:t>
      </w:r>
    </w:p>
    <w:p w14:paraId="65CFEEFC" w14:textId="77777777" w:rsidR="00B26ECA" w:rsidRDefault="00B26ECA" w:rsidP="004F00E0">
      <w:pPr>
        <w:spacing w:after="0"/>
        <w:ind w:left="360"/>
        <w:rPr>
          <w:rFonts w:cs="Arial"/>
          <w:sz w:val="20"/>
          <w:szCs w:val="20"/>
        </w:rPr>
      </w:pPr>
    </w:p>
    <w:p w14:paraId="75101435" w14:textId="77777777" w:rsidR="00B26ECA" w:rsidRDefault="00B26ECA" w:rsidP="00331810">
      <w:pPr>
        <w:numPr>
          <w:ilvl w:val="1"/>
          <w:numId w:val="12"/>
        </w:numPr>
        <w:spacing w:after="0"/>
        <w:rPr>
          <w:rFonts w:cs="Arial"/>
          <w:sz w:val="20"/>
          <w:szCs w:val="20"/>
        </w:rPr>
      </w:pPr>
      <w:r w:rsidRPr="001522FF">
        <w:rPr>
          <w:rFonts w:cs="Arial"/>
          <w:sz w:val="20"/>
          <w:szCs w:val="20"/>
        </w:rPr>
        <w:t xml:space="preserve">Each contract issued by </w:t>
      </w:r>
      <w:r w:rsidR="00123A7A">
        <w:rPr>
          <w:rFonts w:cs="Arial"/>
          <w:sz w:val="20"/>
          <w:szCs w:val="20"/>
        </w:rPr>
        <w:t xml:space="preserve">the </w:t>
      </w:r>
      <w:r w:rsidR="001D1CA5">
        <w:rPr>
          <w:rFonts w:cs="Arial"/>
          <w:sz w:val="20"/>
          <w:szCs w:val="20"/>
        </w:rPr>
        <w:t>r</w:t>
      </w:r>
      <w:r w:rsidR="00123A7A">
        <w:rPr>
          <w:rFonts w:cs="Arial"/>
          <w:sz w:val="20"/>
          <w:szCs w:val="20"/>
        </w:rPr>
        <w:t xml:space="preserve">esponsible </w:t>
      </w:r>
      <w:r w:rsidR="001D1CA5">
        <w:rPr>
          <w:rFonts w:cs="Arial"/>
          <w:sz w:val="20"/>
          <w:szCs w:val="20"/>
        </w:rPr>
        <w:t>p</w:t>
      </w:r>
      <w:r w:rsidR="00123A7A">
        <w:rPr>
          <w:rFonts w:cs="Arial"/>
          <w:sz w:val="20"/>
          <w:szCs w:val="20"/>
        </w:rPr>
        <w:t xml:space="preserve">arty, subcontractor or sub-recipient </w:t>
      </w:r>
      <w:r w:rsidR="001D1CA5">
        <w:rPr>
          <w:rFonts w:cs="Arial"/>
          <w:sz w:val="20"/>
          <w:szCs w:val="20"/>
        </w:rPr>
        <w:t>in connection with this</w:t>
      </w:r>
      <w:r w:rsidRPr="001522FF">
        <w:rPr>
          <w:rFonts w:cs="Arial"/>
          <w:sz w:val="20"/>
          <w:szCs w:val="20"/>
        </w:rPr>
        <w:t xml:space="preserve"> Project </w:t>
      </w:r>
      <w:r w:rsidR="001D1CA5">
        <w:rPr>
          <w:rFonts w:cs="Arial"/>
          <w:sz w:val="20"/>
          <w:szCs w:val="20"/>
        </w:rPr>
        <w:t xml:space="preserve">Document </w:t>
      </w:r>
      <w:r w:rsidRPr="001522FF">
        <w:rPr>
          <w:rFonts w:cs="Arial"/>
          <w:sz w:val="20"/>
          <w:szCs w:val="20"/>
        </w:rPr>
        <w:t xml:space="preserve">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w:t>
      </w:r>
      <w:r w:rsidR="00123A7A">
        <w:rPr>
          <w:rFonts w:cs="Arial"/>
          <w:sz w:val="20"/>
          <w:szCs w:val="20"/>
        </w:rPr>
        <w:t>it</w:t>
      </w:r>
      <w:r w:rsidRPr="001522FF">
        <w:rPr>
          <w:rFonts w:cs="Arial"/>
          <w:sz w:val="20"/>
          <w:szCs w:val="20"/>
        </w:rPr>
        <w:t xml:space="preserve"> shall cooperate with any and all investigations and post-payment audits</w:t>
      </w:r>
      <w:r>
        <w:rPr>
          <w:rFonts w:cs="Arial"/>
          <w:sz w:val="20"/>
          <w:szCs w:val="20"/>
        </w:rPr>
        <w:t>.</w:t>
      </w:r>
    </w:p>
    <w:p w14:paraId="04E42D38" w14:textId="77777777" w:rsidR="00B26ECA" w:rsidRDefault="00B26ECA" w:rsidP="004F00E0">
      <w:pPr>
        <w:spacing w:after="0"/>
        <w:ind w:left="360"/>
        <w:rPr>
          <w:rFonts w:cs="Arial"/>
          <w:sz w:val="20"/>
          <w:szCs w:val="20"/>
        </w:rPr>
      </w:pPr>
    </w:p>
    <w:p w14:paraId="40A7697A" w14:textId="77777777" w:rsidR="00B26ECA" w:rsidRDefault="00B26ECA" w:rsidP="00331810">
      <w:pPr>
        <w:numPr>
          <w:ilvl w:val="1"/>
          <w:numId w:val="12"/>
        </w:numPr>
        <w:spacing w:after="0"/>
        <w:rPr>
          <w:rFonts w:cs="Arial"/>
          <w:sz w:val="20"/>
          <w:szCs w:val="20"/>
        </w:rPr>
      </w:pPr>
      <w:r w:rsidRPr="001522FF">
        <w:rPr>
          <w:rFonts w:cs="Arial"/>
          <w:sz w:val="20"/>
          <w:szCs w:val="20"/>
        </w:rPr>
        <w:t xml:space="preserve">Should UNDP refer to the relevant national authorities for appropriate legal action any alleged wrongdoing relating to the project or programme, the </w:t>
      </w:r>
      <w:r w:rsidR="00C3114E">
        <w:rPr>
          <w:rFonts w:cs="Arial"/>
          <w:sz w:val="20"/>
          <w:szCs w:val="20"/>
        </w:rPr>
        <w:t>G</w:t>
      </w:r>
      <w:r w:rsidRPr="001522FF">
        <w:rPr>
          <w:rFonts w:cs="Arial"/>
          <w:sz w:val="20"/>
          <w:szCs w:val="20"/>
        </w:rPr>
        <w:t>overnment will ensure that the relevant national authorities shall actively investigate the same and take appropriate legal action against all individuals found to have participated in the wrongdoing, recover and return any recovered funds to UNDP</w:t>
      </w:r>
      <w:r w:rsidR="00650D00">
        <w:rPr>
          <w:rFonts w:cs="Arial"/>
          <w:sz w:val="20"/>
          <w:szCs w:val="20"/>
        </w:rPr>
        <w:t>.</w:t>
      </w:r>
    </w:p>
    <w:p w14:paraId="718646A2" w14:textId="77777777" w:rsidR="00B26ECA" w:rsidRDefault="00B26ECA" w:rsidP="004F00E0">
      <w:pPr>
        <w:spacing w:after="0"/>
        <w:ind w:left="360"/>
        <w:rPr>
          <w:rFonts w:cs="Arial"/>
          <w:sz w:val="20"/>
          <w:szCs w:val="20"/>
        </w:rPr>
      </w:pPr>
    </w:p>
    <w:p w14:paraId="4750A279" w14:textId="77777777" w:rsidR="00FD0823" w:rsidRPr="00FD0823" w:rsidRDefault="00123A7A" w:rsidP="00331810">
      <w:pPr>
        <w:numPr>
          <w:ilvl w:val="1"/>
          <w:numId w:val="12"/>
        </w:numPr>
        <w:spacing w:after="0"/>
        <w:rPr>
          <w:rFonts w:cs="Arial"/>
          <w:sz w:val="20"/>
          <w:szCs w:val="20"/>
        </w:rPr>
      </w:pPr>
      <w:r>
        <w:rPr>
          <w:rFonts w:cs="Arial"/>
          <w:sz w:val="20"/>
          <w:szCs w:val="20"/>
        </w:rPr>
        <w:t xml:space="preserve">Each </w:t>
      </w:r>
      <w:r w:rsidR="001D1CA5">
        <w:rPr>
          <w:rFonts w:cs="Arial"/>
          <w:sz w:val="20"/>
          <w:szCs w:val="20"/>
        </w:rPr>
        <w:t>r</w:t>
      </w:r>
      <w:r>
        <w:rPr>
          <w:rFonts w:cs="Arial"/>
          <w:sz w:val="20"/>
          <w:szCs w:val="20"/>
        </w:rPr>
        <w:t xml:space="preserve">esponsible </w:t>
      </w:r>
      <w:r w:rsidR="001D1CA5">
        <w:rPr>
          <w:rFonts w:cs="Arial"/>
          <w:sz w:val="20"/>
          <w:szCs w:val="20"/>
        </w:rPr>
        <w:t>p</w:t>
      </w:r>
      <w:r>
        <w:rPr>
          <w:rFonts w:cs="Arial"/>
          <w:sz w:val="20"/>
          <w:szCs w:val="20"/>
        </w:rPr>
        <w:t>arty, subcontractor and sub-recipient</w:t>
      </w:r>
      <w:r w:rsidRPr="001522FF">
        <w:rPr>
          <w:rFonts w:cs="Arial"/>
          <w:sz w:val="20"/>
          <w:szCs w:val="20"/>
        </w:rPr>
        <w:t xml:space="preserve"> </w:t>
      </w:r>
      <w:r w:rsidR="00B26ECA" w:rsidRPr="001522FF">
        <w:rPr>
          <w:rFonts w:cs="Arial"/>
          <w:sz w:val="20"/>
          <w:szCs w:val="20"/>
        </w:rPr>
        <w:t xml:space="preserve">shall ensure that </w:t>
      </w:r>
      <w:r w:rsidR="00B26ECA">
        <w:rPr>
          <w:rFonts w:cs="Arial"/>
          <w:sz w:val="20"/>
          <w:szCs w:val="20"/>
        </w:rPr>
        <w:t xml:space="preserve">all of its obligations set forth under this section </w:t>
      </w:r>
      <w:r w:rsidR="007B5E0E">
        <w:rPr>
          <w:rFonts w:cs="Arial"/>
          <w:sz w:val="20"/>
          <w:szCs w:val="20"/>
        </w:rPr>
        <w:t>entitled</w:t>
      </w:r>
      <w:r w:rsidR="00B26ECA">
        <w:rPr>
          <w:rFonts w:cs="Arial"/>
          <w:sz w:val="20"/>
          <w:szCs w:val="20"/>
        </w:rPr>
        <w:t xml:space="preserve"> “Risk Management” are passed on to </w:t>
      </w:r>
      <w:r>
        <w:rPr>
          <w:rFonts w:cs="Arial"/>
          <w:sz w:val="20"/>
          <w:szCs w:val="20"/>
        </w:rPr>
        <w:t>its</w:t>
      </w:r>
      <w:r w:rsidR="00B26ECA">
        <w:rPr>
          <w:rFonts w:cs="Arial"/>
          <w:sz w:val="20"/>
          <w:szCs w:val="20"/>
        </w:rPr>
        <w:t xml:space="preserve"> subcontractor</w:t>
      </w:r>
      <w:r>
        <w:rPr>
          <w:rFonts w:cs="Arial"/>
          <w:sz w:val="20"/>
          <w:szCs w:val="20"/>
        </w:rPr>
        <w:t>s</w:t>
      </w:r>
      <w:r w:rsidR="00B26ECA">
        <w:rPr>
          <w:rFonts w:cs="Arial"/>
          <w:sz w:val="20"/>
          <w:szCs w:val="20"/>
        </w:rPr>
        <w:t xml:space="preserve"> and sub-recipient</w:t>
      </w:r>
      <w:r>
        <w:rPr>
          <w:rFonts w:cs="Arial"/>
          <w:sz w:val="20"/>
          <w:szCs w:val="20"/>
        </w:rPr>
        <w:t>s</w:t>
      </w:r>
      <w:r w:rsidR="00B26ECA">
        <w:rPr>
          <w:rFonts w:cs="Arial"/>
          <w:sz w:val="20"/>
          <w:szCs w:val="20"/>
        </w:rPr>
        <w:t xml:space="preserve"> and that all the clauses under this section </w:t>
      </w:r>
      <w:r w:rsidR="007B5E0E">
        <w:rPr>
          <w:rFonts w:cs="Arial"/>
          <w:sz w:val="20"/>
          <w:szCs w:val="20"/>
        </w:rPr>
        <w:t>entitled</w:t>
      </w:r>
      <w:r w:rsidR="00B26ECA">
        <w:rPr>
          <w:rFonts w:cs="Arial"/>
          <w:sz w:val="20"/>
          <w:szCs w:val="20"/>
        </w:rPr>
        <w:t xml:space="preserve"> “Risk Management Standard Clauses” </w:t>
      </w:r>
      <w:r w:rsidR="00B26ECA" w:rsidRPr="001522FF">
        <w:rPr>
          <w:rFonts w:cs="Arial"/>
          <w:sz w:val="20"/>
          <w:szCs w:val="20"/>
        </w:rPr>
        <w:t>are adequately reflected</w:t>
      </w:r>
      <w:r w:rsidR="00B26ECA">
        <w:rPr>
          <w:rFonts w:cs="Arial"/>
          <w:sz w:val="20"/>
          <w:szCs w:val="20"/>
        </w:rPr>
        <w:t xml:space="preserve">, </w:t>
      </w:r>
      <w:r w:rsidR="00B26ECA" w:rsidRPr="005212AF">
        <w:rPr>
          <w:rFonts w:cs="Arial"/>
          <w:i/>
          <w:sz w:val="20"/>
          <w:szCs w:val="20"/>
        </w:rPr>
        <w:t>mutatis mutandis</w:t>
      </w:r>
      <w:r w:rsidR="00B26ECA">
        <w:rPr>
          <w:rFonts w:cs="Arial"/>
          <w:sz w:val="20"/>
          <w:szCs w:val="20"/>
        </w:rPr>
        <w:t xml:space="preserve">, </w:t>
      </w:r>
      <w:r w:rsidR="00B26ECA" w:rsidRPr="001522FF">
        <w:rPr>
          <w:rFonts w:cs="Arial"/>
          <w:sz w:val="20"/>
          <w:szCs w:val="20"/>
        </w:rPr>
        <w:t xml:space="preserve">in all </w:t>
      </w:r>
      <w:r>
        <w:rPr>
          <w:rFonts w:cs="Arial"/>
          <w:sz w:val="20"/>
          <w:szCs w:val="20"/>
        </w:rPr>
        <w:t xml:space="preserve">its </w:t>
      </w:r>
      <w:r w:rsidR="00B26ECA" w:rsidRPr="001522FF">
        <w:rPr>
          <w:rFonts w:cs="Arial"/>
          <w:sz w:val="20"/>
          <w:szCs w:val="20"/>
        </w:rPr>
        <w:t>sub-contracts or sub-agreements entered into</w:t>
      </w:r>
      <w:r w:rsidR="00B26ECA">
        <w:rPr>
          <w:rFonts w:cs="Arial"/>
          <w:sz w:val="20"/>
          <w:szCs w:val="20"/>
        </w:rPr>
        <w:t xml:space="preserve"> </w:t>
      </w:r>
      <w:r w:rsidR="001D1CA5">
        <w:rPr>
          <w:rFonts w:cs="Arial"/>
          <w:sz w:val="20"/>
          <w:szCs w:val="20"/>
        </w:rPr>
        <w:t>further to</w:t>
      </w:r>
      <w:r w:rsidR="00B26ECA" w:rsidRPr="001522FF">
        <w:rPr>
          <w:rFonts w:cs="Arial"/>
          <w:sz w:val="20"/>
          <w:szCs w:val="20"/>
        </w:rPr>
        <w:t xml:space="preserve"> </w:t>
      </w:r>
      <w:r w:rsidR="00B26ECA">
        <w:rPr>
          <w:rFonts w:cs="Arial"/>
          <w:sz w:val="20"/>
          <w:szCs w:val="20"/>
        </w:rPr>
        <w:t>this Project Document</w:t>
      </w:r>
      <w:r w:rsidR="00B26ECA" w:rsidRPr="001522FF">
        <w:rPr>
          <w:rFonts w:cs="Arial"/>
          <w:sz w:val="20"/>
          <w:szCs w:val="20"/>
        </w:rPr>
        <w:t>.</w:t>
      </w:r>
    </w:p>
    <w:p w14:paraId="7B75CBE7" w14:textId="77777777" w:rsidR="00FD0823" w:rsidRDefault="00FD0823" w:rsidP="005E763F">
      <w:pPr>
        <w:rPr>
          <w:rFonts w:cs="Arial"/>
          <w:b/>
          <w:sz w:val="20"/>
          <w:szCs w:val="20"/>
        </w:rPr>
      </w:pPr>
    </w:p>
    <w:p w14:paraId="711C55D9" w14:textId="77777777" w:rsidR="00FD0823" w:rsidRDefault="00FD0823" w:rsidP="005E763F">
      <w:pPr>
        <w:rPr>
          <w:rFonts w:cs="Arial"/>
          <w:b/>
          <w:sz w:val="20"/>
          <w:szCs w:val="20"/>
        </w:rPr>
      </w:pPr>
    </w:p>
    <w:p w14:paraId="67166CA0" w14:textId="77777777" w:rsidR="00022DE9" w:rsidRDefault="009F4BE8" w:rsidP="009F4BE8">
      <w:pPr>
        <w:pStyle w:val="Heading1"/>
        <w:numPr>
          <w:ilvl w:val="0"/>
          <w:numId w:val="0"/>
        </w:numPr>
        <w:rPr>
          <w:iCs/>
        </w:rPr>
      </w:pPr>
      <w:r>
        <w:rPr>
          <w:iCs/>
        </w:rPr>
        <w:t xml:space="preserve"> </w:t>
      </w:r>
    </w:p>
    <w:p w14:paraId="62522DA2" w14:textId="77777777" w:rsidR="00A42184" w:rsidRPr="00D4010B" w:rsidRDefault="00A42184" w:rsidP="00A42184"/>
    <w:p w14:paraId="05AD9531" w14:textId="774A4D80" w:rsidR="008F1069" w:rsidRDefault="008F1069" w:rsidP="000C4DDD"/>
    <w:sectPr w:rsidR="008F1069" w:rsidSect="00FD6216">
      <w:pgSz w:w="11906" w:h="16838" w:code="9"/>
      <w:pgMar w:top="864" w:right="1152" w:bottom="864" w:left="1152" w:header="720" w:footer="43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519C" w16cex:dateUtc="2021-01-15T15:37:00Z"/>
  <w16cex:commentExtensible w16cex:durableId="23AC519D" w16cex:dateUtc="2021-01-15T15:37:00Z"/>
  <w16cex:commentExtensible w16cex:durableId="23AC50B2" w16cex:dateUtc="2021-01-15T15:34:00Z"/>
  <w16cex:commentExtensible w16cex:durableId="23AC4236" w16cex:dateUtc="2021-01-15T14:32:00Z"/>
  <w16cex:commentExtensible w16cex:durableId="23AC47F6" w16cex:dateUtc="2021-01-15T14:57:00Z"/>
  <w16cex:commentExtensible w16cex:durableId="23AC4923" w16cex:dateUtc="2021-01-15T15:02:00Z"/>
  <w16cex:commentExtensible w16cex:durableId="23AC49A0" w16cex:dateUtc="2021-01-15T15:04:00Z"/>
  <w16cex:commentExtensible w16cex:durableId="23AC4F2D" w16cex:dateUtc="2021-01-15T15:28:00Z"/>
  <w16cex:commentExtensible w16cex:durableId="23AC500D" w16cex:dateUtc="2021-01-15T15: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3C3E" w14:textId="77777777" w:rsidR="004464C2" w:rsidRDefault="004464C2">
      <w:r>
        <w:separator/>
      </w:r>
    </w:p>
  </w:endnote>
  <w:endnote w:type="continuationSeparator" w:id="0">
    <w:p w14:paraId="4A8F86B9" w14:textId="77777777" w:rsidR="004464C2" w:rsidRDefault="004464C2">
      <w:r>
        <w:continuationSeparator/>
      </w:r>
    </w:p>
  </w:endnote>
  <w:endnote w:type="continuationNotice" w:id="1">
    <w:p w14:paraId="79A6963E" w14:textId="77777777" w:rsidR="004464C2" w:rsidRDefault="004464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arla">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D9C6" w14:textId="77777777" w:rsidR="00230A72" w:rsidRDefault="00230A72"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D2A5E" w14:textId="77777777" w:rsidR="00230A72" w:rsidRDefault="00230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430" w14:textId="77777777" w:rsidR="00230A72" w:rsidRDefault="00230A72"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DED3" w14:textId="77777777" w:rsidR="00230A72" w:rsidRDefault="00230A72">
    <w:pPr>
      <w:pStyle w:val="Footer"/>
      <w:jc w:val="right"/>
    </w:pPr>
    <w:r>
      <w:fldChar w:fldCharType="begin"/>
    </w:r>
    <w:r>
      <w:instrText xml:space="preserve"> PAGE   \* MERGEFORMAT </w:instrText>
    </w:r>
    <w:r>
      <w:fldChar w:fldCharType="separate"/>
    </w:r>
    <w:r>
      <w:rPr>
        <w:noProof/>
      </w:rPr>
      <w:t>1</w:t>
    </w:r>
    <w:r>
      <w:rPr>
        <w:noProof/>
      </w:rPr>
      <w:fldChar w:fldCharType="end"/>
    </w:r>
  </w:p>
  <w:p w14:paraId="3EAE2636" w14:textId="77777777" w:rsidR="00230A72" w:rsidRDefault="00230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5E50" w14:textId="77777777" w:rsidR="004464C2" w:rsidRDefault="004464C2">
      <w:r>
        <w:separator/>
      </w:r>
    </w:p>
  </w:footnote>
  <w:footnote w:type="continuationSeparator" w:id="0">
    <w:p w14:paraId="02D1696F" w14:textId="77777777" w:rsidR="004464C2" w:rsidRDefault="004464C2">
      <w:r>
        <w:continuationSeparator/>
      </w:r>
    </w:p>
  </w:footnote>
  <w:footnote w:type="continuationNotice" w:id="1">
    <w:p w14:paraId="74681E6A" w14:textId="77777777" w:rsidR="004464C2" w:rsidRDefault="004464C2">
      <w:pPr>
        <w:spacing w:after="0"/>
      </w:pPr>
    </w:p>
  </w:footnote>
  <w:footnote w:id="2">
    <w:p w14:paraId="5C44BC09" w14:textId="77777777" w:rsidR="00230A72" w:rsidRPr="00900E32" w:rsidRDefault="00230A72" w:rsidP="00875BDB">
      <w:pPr>
        <w:pStyle w:val="BodyBA"/>
        <w:jc w:val="lowKashida"/>
        <w:rPr>
          <w:rFonts w:asciiTheme="majorBidi" w:eastAsia="Arial Unicode MS" w:hAnsiTheme="majorBidi" w:cstheme="majorBidi"/>
          <w:sz w:val="16"/>
          <w:szCs w:val="16"/>
        </w:rPr>
      </w:pPr>
      <w:r w:rsidRPr="00900E32">
        <w:rPr>
          <w:rFonts w:eastAsia="Arial Unicode MS"/>
          <w:sz w:val="16"/>
          <w:szCs w:val="16"/>
          <w:vertAlign w:val="superscript"/>
        </w:rPr>
        <w:footnoteRef/>
      </w:r>
      <w:r w:rsidRPr="00900E32">
        <w:rPr>
          <w:rFonts w:eastAsia="Arial Unicode MS"/>
          <w:sz w:val="16"/>
          <w:szCs w:val="16"/>
        </w:rPr>
        <w:t xml:space="preserve"> </w:t>
      </w:r>
      <w:r w:rsidRPr="00900E32">
        <w:rPr>
          <w:rFonts w:asciiTheme="majorBidi" w:eastAsia="Arial Unicode MS" w:hAnsiTheme="majorBidi" w:cstheme="majorBidi"/>
          <w:sz w:val="16"/>
          <w:szCs w:val="16"/>
        </w:rPr>
        <w:t>Department of Statistics, General Statistics, 2019</w:t>
      </w:r>
    </w:p>
  </w:footnote>
  <w:footnote w:id="3">
    <w:p w14:paraId="53EE8D6B" w14:textId="77777777" w:rsidR="00230A72" w:rsidRPr="00900E32" w:rsidRDefault="00230A72" w:rsidP="00875BDB">
      <w:pPr>
        <w:pStyle w:val="BodyBA"/>
        <w:jc w:val="lowKashida"/>
        <w:rPr>
          <w:rFonts w:asciiTheme="majorBidi" w:eastAsia="Arial Unicode MS" w:hAnsiTheme="majorBidi" w:cstheme="majorBidi"/>
          <w:sz w:val="16"/>
          <w:szCs w:val="16"/>
        </w:rPr>
      </w:pPr>
      <w:r w:rsidRPr="00900E32">
        <w:rPr>
          <w:rFonts w:asciiTheme="majorBidi" w:eastAsia="Arial Unicode MS" w:hAnsiTheme="majorBidi" w:cstheme="majorBidi"/>
          <w:sz w:val="16"/>
          <w:szCs w:val="16"/>
          <w:vertAlign w:val="superscript"/>
        </w:rPr>
        <w:footnoteRef/>
      </w:r>
      <w:r w:rsidRPr="00900E32">
        <w:rPr>
          <w:rFonts w:asciiTheme="majorBidi" w:eastAsia="Arial Unicode MS" w:hAnsiTheme="majorBidi" w:cstheme="majorBidi"/>
          <w:sz w:val="16"/>
          <w:szCs w:val="16"/>
        </w:rPr>
        <w:t xml:space="preserve"> Department of Statistics, Statistical Yearbook of Jordan, 2018</w:t>
      </w:r>
    </w:p>
  </w:footnote>
  <w:footnote w:id="4">
    <w:p w14:paraId="4825A8EA" w14:textId="4D653CDB" w:rsidR="00230A72" w:rsidRPr="00900E32" w:rsidRDefault="00230A72" w:rsidP="00875BDB">
      <w:pPr>
        <w:pStyle w:val="FootnoteText"/>
        <w:spacing w:after="0"/>
        <w:rPr>
          <w:rFonts w:asciiTheme="majorBidi" w:hAnsiTheme="majorBidi" w:cstheme="majorBidi"/>
          <w:sz w:val="16"/>
          <w:szCs w:val="16"/>
        </w:rPr>
      </w:pPr>
      <w:r w:rsidRPr="00900E32">
        <w:rPr>
          <w:rStyle w:val="FootnoteReference"/>
          <w:rFonts w:asciiTheme="majorBidi" w:hAnsiTheme="majorBidi" w:cstheme="majorBidi"/>
          <w:sz w:val="16"/>
          <w:szCs w:val="16"/>
        </w:rPr>
        <w:footnoteRef/>
      </w:r>
      <w:r w:rsidRPr="00900E32">
        <w:rPr>
          <w:rFonts w:asciiTheme="majorBidi" w:hAnsiTheme="majorBidi" w:cstheme="majorBidi"/>
          <w:sz w:val="16"/>
          <w:szCs w:val="16"/>
        </w:rPr>
        <w:t xml:space="preserve"> CIA, World Factbook, 2021</w:t>
      </w:r>
    </w:p>
  </w:footnote>
  <w:footnote w:id="5">
    <w:p w14:paraId="01B42E26" w14:textId="77777777" w:rsidR="00230A72" w:rsidRPr="00900E32" w:rsidRDefault="00230A72" w:rsidP="00875BDB">
      <w:pPr>
        <w:pStyle w:val="BodyBA"/>
        <w:jc w:val="lowKashida"/>
        <w:rPr>
          <w:rFonts w:asciiTheme="majorBidi" w:eastAsia="Arial Unicode MS" w:hAnsiTheme="majorBidi" w:cstheme="majorBidi"/>
          <w:sz w:val="16"/>
          <w:szCs w:val="16"/>
        </w:rPr>
      </w:pPr>
      <w:r w:rsidRPr="00900E32">
        <w:rPr>
          <w:rFonts w:asciiTheme="majorBidi" w:eastAsia="Arial Unicode MS" w:hAnsiTheme="majorBidi" w:cstheme="majorBidi"/>
          <w:sz w:val="16"/>
          <w:szCs w:val="16"/>
          <w:vertAlign w:val="superscript"/>
        </w:rPr>
        <w:footnoteRef/>
      </w:r>
      <w:r w:rsidRPr="00900E32">
        <w:rPr>
          <w:rFonts w:asciiTheme="majorBidi" w:eastAsia="Arial Unicode MS" w:hAnsiTheme="majorBidi" w:cstheme="majorBidi"/>
          <w:sz w:val="16"/>
          <w:szCs w:val="16"/>
        </w:rPr>
        <w:t xml:space="preserve"> Department of Statistics, Population Estimates, 2018 </w:t>
      </w:r>
    </w:p>
  </w:footnote>
  <w:footnote w:id="6">
    <w:p w14:paraId="2D757956" w14:textId="7F50ABB6" w:rsidR="00230A72" w:rsidRPr="00900E32" w:rsidRDefault="00230A72" w:rsidP="00875BDB">
      <w:pPr>
        <w:pStyle w:val="FootnoteText"/>
        <w:spacing w:after="0"/>
        <w:rPr>
          <w:rFonts w:asciiTheme="majorBidi" w:hAnsiTheme="majorBidi" w:cstheme="majorBidi"/>
          <w:sz w:val="16"/>
          <w:szCs w:val="16"/>
          <w:lang w:eastAsia="ja-JP"/>
        </w:rPr>
      </w:pPr>
      <w:r w:rsidRPr="00900E32">
        <w:rPr>
          <w:rStyle w:val="FootnoteReference"/>
          <w:rFonts w:asciiTheme="majorBidi" w:hAnsiTheme="majorBidi" w:cstheme="majorBidi"/>
          <w:sz w:val="16"/>
          <w:szCs w:val="16"/>
        </w:rPr>
        <w:footnoteRef/>
      </w:r>
      <w:r w:rsidRPr="00900E32">
        <w:rPr>
          <w:rFonts w:asciiTheme="majorBidi" w:hAnsiTheme="majorBidi" w:cstheme="majorBidi"/>
          <w:sz w:val="16"/>
          <w:szCs w:val="16"/>
        </w:rPr>
        <w:t xml:space="preserve"> </w:t>
      </w:r>
      <w:r w:rsidRPr="00900E32">
        <w:rPr>
          <w:rFonts w:asciiTheme="majorBidi" w:hAnsiTheme="majorBidi" w:cstheme="majorBidi"/>
          <w:sz w:val="16"/>
          <w:szCs w:val="16"/>
          <w:lang w:eastAsia="ja-JP"/>
        </w:rPr>
        <w:t>World Bank, 2020</w:t>
      </w:r>
    </w:p>
  </w:footnote>
  <w:footnote w:id="7">
    <w:p w14:paraId="54289D7C" w14:textId="0B53DF5D" w:rsidR="00230A72" w:rsidRPr="00900E32" w:rsidRDefault="00230A72" w:rsidP="00875BDB">
      <w:pPr>
        <w:pStyle w:val="FootnoteText"/>
        <w:spacing w:after="0"/>
        <w:rPr>
          <w:rFonts w:asciiTheme="majorBidi" w:hAnsiTheme="majorBidi" w:cstheme="majorBidi"/>
          <w:sz w:val="16"/>
          <w:szCs w:val="16"/>
        </w:rPr>
      </w:pPr>
      <w:r w:rsidRPr="00900E32">
        <w:rPr>
          <w:rStyle w:val="FootnoteReference"/>
          <w:rFonts w:asciiTheme="majorBidi" w:hAnsiTheme="majorBidi" w:cstheme="majorBidi"/>
          <w:sz w:val="16"/>
          <w:szCs w:val="16"/>
        </w:rPr>
        <w:footnoteRef/>
      </w:r>
      <w:r w:rsidRPr="00900E32">
        <w:rPr>
          <w:rFonts w:asciiTheme="majorBidi" w:hAnsiTheme="majorBidi" w:cstheme="majorBidi"/>
          <w:sz w:val="16"/>
          <w:szCs w:val="16"/>
        </w:rPr>
        <w:t xml:space="preserve"> UNHCR</w:t>
      </w:r>
    </w:p>
  </w:footnote>
  <w:footnote w:id="8">
    <w:p w14:paraId="79917B89" w14:textId="39D61E2A" w:rsidR="00230A72" w:rsidRPr="00900E32" w:rsidRDefault="00230A72" w:rsidP="00875BDB">
      <w:pPr>
        <w:pStyle w:val="FootnoteText"/>
        <w:spacing w:after="0"/>
        <w:rPr>
          <w:rFonts w:asciiTheme="majorBidi" w:eastAsia="Arial Unicode MS" w:hAnsiTheme="majorBidi" w:cstheme="majorBidi"/>
          <w:color w:val="000000"/>
          <w:sz w:val="16"/>
          <w:szCs w:val="16"/>
          <w:u w:color="000000"/>
          <w:bdr w:val="nil"/>
          <w:lang w:eastAsia="en-GB"/>
        </w:rPr>
      </w:pPr>
      <w:r w:rsidRPr="00900E32">
        <w:rPr>
          <w:rStyle w:val="FootnoteReference"/>
          <w:rFonts w:asciiTheme="majorBidi" w:hAnsiTheme="majorBidi" w:cstheme="majorBidi"/>
          <w:sz w:val="16"/>
          <w:szCs w:val="16"/>
        </w:rPr>
        <w:footnoteRef/>
      </w:r>
      <w:r w:rsidRPr="00900E32">
        <w:rPr>
          <w:rFonts w:asciiTheme="majorBidi" w:hAnsiTheme="majorBidi" w:cstheme="majorBidi"/>
          <w:sz w:val="16"/>
          <w:szCs w:val="16"/>
        </w:rPr>
        <w:t xml:space="preserve"> </w:t>
      </w:r>
      <w:r w:rsidRPr="00900E32">
        <w:rPr>
          <w:rFonts w:asciiTheme="majorBidi" w:eastAsia="Arial Unicode MS" w:hAnsiTheme="majorBidi" w:cstheme="majorBidi"/>
          <w:color w:val="000000"/>
          <w:sz w:val="16"/>
          <w:szCs w:val="16"/>
          <w:u w:color="000000"/>
          <w:bdr w:val="nil"/>
          <w:lang w:eastAsia="en-GB"/>
        </w:rPr>
        <w:t>Compounding Misfortunes - Changes in Poverty since the Onset of COVID-19 on Syrian Refugees and Host Communities in Jordan, the Kurdistan Region of Iraq and Lebanon, World Bank, Dec, 2020</w:t>
      </w:r>
    </w:p>
  </w:footnote>
  <w:footnote w:id="9">
    <w:p w14:paraId="1447D516" w14:textId="6DA02830" w:rsidR="00230A72" w:rsidRPr="00815CBD" w:rsidRDefault="00230A72" w:rsidP="00875BDB">
      <w:pPr>
        <w:pStyle w:val="FootnoteText"/>
        <w:spacing w:after="0"/>
        <w:rPr>
          <w:rFonts w:ascii="Times New Roman" w:hAnsi="Times New Roman"/>
          <w:sz w:val="16"/>
          <w:szCs w:val="16"/>
        </w:rPr>
      </w:pPr>
      <w:r w:rsidRPr="00815CBD">
        <w:rPr>
          <w:rStyle w:val="FootnoteReference"/>
          <w:rFonts w:ascii="Times New Roman" w:hAnsi="Times New Roman"/>
          <w:sz w:val="16"/>
          <w:szCs w:val="16"/>
        </w:rPr>
        <w:footnoteRef/>
      </w:r>
      <w:r w:rsidRPr="00815CBD">
        <w:rPr>
          <w:rFonts w:ascii="Times New Roman" w:hAnsi="Times New Roman"/>
          <w:sz w:val="16"/>
          <w:szCs w:val="16"/>
        </w:rPr>
        <w:t xml:space="preserve"> </w:t>
      </w:r>
      <w:hyperlink r:id="rId1" w:history="1">
        <w:r w:rsidRPr="00815CBD">
          <w:rPr>
            <w:rStyle w:val="Hyperlink"/>
            <w:rFonts w:ascii="Times New Roman" w:hAnsi="Times New Roman"/>
            <w:sz w:val="16"/>
            <w:szCs w:val="16"/>
          </w:rPr>
          <w:t>Report</w:t>
        </w:r>
      </w:hyperlink>
      <w:r w:rsidRPr="00815CBD">
        <w:rPr>
          <w:rFonts w:ascii="Times New Roman" w:hAnsi="Times New Roman"/>
          <w:sz w:val="16"/>
          <w:szCs w:val="16"/>
        </w:rPr>
        <w:t xml:space="preserve"> OECD: Bridging the gender digital Divide, INCLUDE, UPSKILL, INNOVATE 2018.</w:t>
      </w:r>
      <w:r>
        <w:rPr>
          <w:rFonts w:ascii="Times New Roman" w:hAnsi="Times New Roman"/>
          <w:sz w:val="16"/>
          <w:szCs w:val="16"/>
        </w:rPr>
        <w:t xml:space="preserve">; </w:t>
      </w:r>
      <w:r w:rsidRPr="00815CBD">
        <w:rPr>
          <w:rFonts w:ascii="Times New Roman" w:hAnsi="Times New Roman"/>
          <w:spacing w:val="-4"/>
          <w:sz w:val="16"/>
          <w:szCs w:val="16"/>
        </w:rPr>
        <w:t>there are 327 million fewer women than men with a smartphone and can access the mobile internet</w:t>
      </w:r>
      <w:r>
        <w:rPr>
          <w:rFonts w:ascii="Times New Roman" w:hAnsi="Times New Roman"/>
          <w:spacing w:val="-4"/>
          <w:sz w:val="16"/>
          <w:szCs w:val="16"/>
        </w:rPr>
        <w:t xml:space="preserve"> in the world.</w:t>
      </w:r>
    </w:p>
  </w:footnote>
  <w:footnote w:id="10">
    <w:p w14:paraId="22C65BF9" w14:textId="77777777" w:rsidR="00230A72" w:rsidRPr="00875BDB" w:rsidRDefault="00230A72" w:rsidP="00875BDB">
      <w:pPr>
        <w:pStyle w:val="FootnoteText"/>
        <w:spacing w:after="0"/>
        <w:rPr>
          <w:rFonts w:ascii="Times New Roman" w:hAnsi="Times New Roman"/>
          <w:sz w:val="16"/>
          <w:szCs w:val="16"/>
        </w:rPr>
      </w:pPr>
      <w:r w:rsidRPr="00875BDB">
        <w:rPr>
          <w:rStyle w:val="FootnoteReference"/>
          <w:rFonts w:ascii="Times New Roman" w:hAnsi="Times New Roman"/>
          <w:szCs w:val="18"/>
        </w:rPr>
        <w:footnoteRef/>
      </w:r>
      <w:r w:rsidRPr="00875BDB">
        <w:rPr>
          <w:rFonts w:ascii="Times New Roman" w:hAnsi="Times New Roman"/>
          <w:sz w:val="16"/>
          <w:szCs w:val="16"/>
        </w:rPr>
        <w:t xml:space="preserve"> Report World Bank: </w:t>
      </w:r>
      <w:r w:rsidRPr="00875BDB">
        <w:rPr>
          <w:rFonts w:ascii="Times New Roman" w:hAnsi="Times New Roman"/>
          <w:sz w:val="16"/>
          <w:szCs w:val="16"/>
          <w:lang w:eastAsia="ja-JP"/>
        </w:rPr>
        <w:t>Does the Internet Reduce Gender Gaps? The Case of Jordan</w:t>
      </w:r>
    </w:p>
  </w:footnote>
  <w:footnote w:id="11">
    <w:p w14:paraId="2EC33507" w14:textId="77777777" w:rsidR="00230A72" w:rsidRPr="00875BDB" w:rsidRDefault="00230A72" w:rsidP="00875BDB">
      <w:pPr>
        <w:spacing w:after="0"/>
        <w:jc w:val="left"/>
        <w:rPr>
          <w:rFonts w:ascii="Times New Roman" w:eastAsia="Times New Roman" w:hAnsi="Times New Roman"/>
          <w:sz w:val="16"/>
          <w:szCs w:val="16"/>
        </w:rPr>
      </w:pPr>
      <w:r w:rsidRPr="00875BDB">
        <w:rPr>
          <w:rStyle w:val="FootnoteReference"/>
          <w:rFonts w:ascii="Times New Roman" w:hAnsi="Times New Roman"/>
          <w:sz w:val="16"/>
          <w:szCs w:val="16"/>
        </w:rPr>
        <w:footnoteRef/>
      </w:r>
      <w:r w:rsidRPr="00875BDB">
        <w:rPr>
          <w:rFonts w:ascii="Times New Roman" w:hAnsi="Times New Roman"/>
          <w:sz w:val="16"/>
          <w:szCs w:val="16"/>
        </w:rPr>
        <w:t xml:space="preserve"> </w:t>
      </w:r>
      <w:r w:rsidRPr="00875BDB">
        <w:rPr>
          <w:rFonts w:ascii="Times New Roman" w:eastAsia="Times New Roman" w:hAnsi="Times New Roman"/>
          <w:color w:val="000000"/>
          <w:sz w:val="16"/>
          <w:szCs w:val="16"/>
          <w:lang w:val="en-US"/>
        </w:rPr>
        <w:t>From Insights to Action, Gender equality in the wake of COVID-19 report by UNDP and UN Women</w:t>
      </w:r>
    </w:p>
  </w:footnote>
  <w:footnote w:id="12">
    <w:p w14:paraId="1CDC199A" w14:textId="18EC5DC8" w:rsidR="00230A72" w:rsidRPr="00163838" w:rsidRDefault="00230A72" w:rsidP="00875BDB">
      <w:pPr>
        <w:pStyle w:val="FootnoteText"/>
        <w:spacing w:after="0"/>
        <w:rPr>
          <w:rFonts w:asciiTheme="majorBidi" w:hAnsiTheme="majorBidi" w:cstheme="majorBidi"/>
          <w:sz w:val="16"/>
          <w:szCs w:val="16"/>
        </w:rPr>
      </w:pPr>
      <w:r w:rsidRPr="00163838">
        <w:rPr>
          <w:rStyle w:val="FootnoteReference"/>
          <w:rFonts w:asciiTheme="majorBidi" w:hAnsiTheme="majorBidi" w:cstheme="majorBidi"/>
          <w:sz w:val="16"/>
          <w:szCs w:val="16"/>
        </w:rPr>
        <w:footnoteRef/>
      </w:r>
      <w:r w:rsidRPr="00163838">
        <w:rPr>
          <w:rFonts w:asciiTheme="majorBidi" w:hAnsiTheme="majorBidi" w:cstheme="majorBidi"/>
          <w:sz w:val="16"/>
          <w:szCs w:val="16"/>
        </w:rPr>
        <w:t xml:space="preserve"> UN Women, 2020 “Covid-19 and women’s economic empowerment: Policy recommendations for strengthening Jordan’s Recovery”</w:t>
      </w:r>
    </w:p>
  </w:footnote>
  <w:footnote w:id="13">
    <w:p w14:paraId="27E85AE7" w14:textId="16568001" w:rsidR="00230A72" w:rsidRPr="00163838" w:rsidRDefault="00230A72" w:rsidP="00875BDB">
      <w:pPr>
        <w:pStyle w:val="FootnoteText"/>
        <w:spacing w:after="0"/>
        <w:rPr>
          <w:rFonts w:asciiTheme="majorBidi" w:hAnsiTheme="majorBidi" w:cstheme="majorBidi"/>
          <w:sz w:val="16"/>
          <w:szCs w:val="16"/>
        </w:rPr>
      </w:pPr>
      <w:r w:rsidRPr="00163838">
        <w:rPr>
          <w:rStyle w:val="FootnoteReference"/>
          <w:rFonts w:asciiTheme="majorBidi" w:hAnsiTheme="majorBidi" w:cstheme="majorBidi"/>
          <w:sz w:val="16"/>
          <w:szCs w:val="16"/>
        </w:rPr>
        <w:footnoteRef/>
      </w:r>
      <w:r w:rsidRPr="00163838">
        <w:rPr>
          <w:rFonts w:asciiTheme="majorBidi" w:hAnsiTheme="majorBidi" w:cstheme="majorBidi"/>
          <w:sz w:val="16"/>
          <w:szCs w:val="16"/>
        </w:rPr>
        <w:t xml:space="preserve"> Department of Statistics (DOS) 2017 2018 Population and Family Health Survey. See page 14 on Domestic Violence: https://dhsprogram.com/pubs/pdf/SR256/SR256.pdf</w:t>
      </w:r>
    </w:p>
  </w:footnote>
  <w:footnote w:id="14">
    <w:p w14:paraId="216F9091" w14:textId="31AB3DBD" w:rsidR="00230A72" w:rsidRPr="00163838" w:rsidRDefault="00230A72" w:rsidP="00875BDB">
      <w:pPr>
        <w:pStyle w:val="FootnoteText"/>
        <w:spacing w:after="0"/>
        <w:rPr>
          <w:rFonts w:asciiTheme="majorBidi" w:hAnsiTheme="majorBidi" w:cstheme="majorBidi"/>
          <w:szCs w:val="22"/>
        </w:rPr>
      </w:pPr>
      <w:r w:rsidRPr="00163838">
        <w:rPr>
          <w:rStyle w:val="FootnoteReference"/>
          <w:rFonts w:asciiTheme="majorBidi" w:hAnsiTheme="majorBidi" w:cstheme="majorBidi"/>
          <w:sz w:val="16"/>
          <w:szCs w:val="16"/>
        </w:rPr>
        <w:footnoteRef/>
      </w:r>
      <w:r w:rsidRPr="00163838">
        <w:rPr>
          <w:rFonts w:asciiTheme="majorBidi" w:hAnsiTheme="majorBidi" w:cstheme="majorBidi"/>
          <w:sz w:val="16"/>
          <w:szCs w:val="16"/>
        </w:rPr>
        <w:t xml:space="preserve"> ACTED, AWO, IRCKHF, CWS, 2016. “</w:t>
      </w:r>
      <w:r>
        <w:rPr>
          <w:rFonts w:asciiTheme="majorBidi" w:hAnsiTheme="majorBidi" w:cstheme="majorBidi"/>
          <w:sz w:val="16"/>
          <w:szCs w:val="16"/>
        </w:rPr>
        <w:t>Exploring the Relationship between Gender-Based Violence and Radicalization in Jordan</w:t>
      </w:r>
      <w:r w:rsidRPr="00163838">
        <w:rPr>
          <w:rFonts w:asciiTheme="majorBidi" w:hAnsiTheme="majorBidi" w:cstheme="majorBidi"/>
          <w:sz w:val="16"/>
          <w:szCs w:val="16"/>
        </w:rPr>
        <w:t>”</w:t>
      </w:r>
    </w:p>
  </w:footnote>
  <w:footnote w:id="15">
    <w:p w14:paraId="73AFCACF" w14:textId="13C96772" w:rsidR="00230A72" w:rsidRPr="00163838" w:rsidRDefault="00230A72" w:rsidP="00875BDB">
      <w:pPr>
        <w:pStyle w:val="FootnoteText"/>
        <w:spacing w:after="0"/>
        <w:rPr>
          <w:rFonts w:asciiTheme="majorBidi" w:hAnsiTheme="majorBidi" w:cstheme="majorBidi"/>
          <w:sz w:val="16"/>
          <w:szCs w:val="16"/>
        </w:rPr>
      </w:pPr>
      <w:r w:rsidRPr="00163838">
        <w:rPr>
          <w:rStyle w:val="FootnoteReference"/>
          <w:rFonts w:asciiTheme="majorBidi" w:hAnsiTheme="majorBidi" w:cstheme="majorBidi"/>
          <w:sz w:val="16"/>
          <w:szCs w:val="16"/>
        </w:rPr>
        <w:footnoteRef/>
      </w:r>
      <w:r w:rsidRPr="00163838">
        <w:rPr>
          <w:rFonts w:asciiTheme="majorBidi" w:hAnsiTheme="majorBidi" w:cstheme="majorBidi"/>
          <w:sz w:val="16"/>
          <w:szCs w:val="16"/>
        </w:rPr>
        <w:t xml:space="preserve"> UNCT (2020), “Socio-economic framework for C</w:t>
      </w:r>
      <w:r>
        <w:rPr>
          <w:rFonts w:asciiTheme="majorBidi" w:hAnsiTheme="majorBidi" w:cstheme="majorBidi"/>
          <w:sz w:val="16"/>
          <w:szCs w:val="16"/>
        </w:rPr>
        <w:t>OVID</w:t>
      </w:r>
      <w:r w:rsidRPr="00163838">
        <w:rPr>
          <w:rFonts w:asciiTheme="majorBidi" w:hAnsiTheme="majorBidi" w:cstheme="majorBidi"/>
          <w:sz w:val="16"/>
          <w:szCs w:val="16"/>
        </w:rPr>
        <w:t>-19 Response in Jordan”</w:t>
      </w:r>
    </w:p>
  </w:footnote>
  <w:footnote w:id="16">
    <w:p w14:paraId="785B06F9" w14:textId="693BC8CF" w:rsidR="00230A72" w:rsidRPr="003D1739" w:rsidRDefault="00230A72" w:rsidP="00875BDB">
      <w:pPr>
        <w:pStyle w:val="FootnoteText"/>
        <w:spacing w:after="0"/>
        <w:rPr>
          <w:rFonts w:ascii="Times New Roman" w:hAnsi="Times New Roman"/>
          <w:sz w:val="16"/>
          <w:szCs w:val="16"/>
        </w:rPr>
      </w:pPr>
      <w:r w:rsidRPr="003D1739">
        <w:rPr>
          <w:rStyle w:val="FootnoteReference"/>
          <w:rFonts w:ascii="Times New Roman" w:hAnsi="Times New Roman"/>
          <w:sz w:val="16"/>
          <w:szCs w:val="16"/>
        </w:rPr>
        <w:footnoteRef/>
      </w:r>
      <w:r w:rsidRPr="003D1739">
        <w:rPr>
          <w:rFonts w:ascii="Times New Roman" w:hAnsi="Times New Roman"/>
          <w:sz w:val="16"/>
          <w:szCs w:val="16"/>
        </w:rPr>
        <w:t xml:space="preserve"> UNDP (2020), “COVID-19 Impact on Most Vulnerable Household in Jordan: Rapid Assessment”</w:t>
      </w:r>
      <w:r>
        <w:rPr>
          <w:rFonts w:ascii="Times New Roman" w:hAnsi="Times New Roman"/>
          <w:sz w:val="16"/>
          <w:szCs w:val="16"/>
        </w:rPr>
        <w:t xml:space="preserve">; </w:t>
      </w:r>
      <w:r w:rsidRPr="00CD6392">
        <w:rPr>
          <w:rFonts w:ascii="Times New Roman" w:hAnsi="Times New Roman"/>
          <w:sz w:val="16"/>
          <w:szCs w:val="16"/>
        </w:rPr>
        <w:t>A rapid assessment of 12,084 respondents conducted by UNDP through an online survey during the lockdown highlighted the significant impact the measures had on the livelihoods of vulnerable households. Almost three-quarters of survey respondents (72.5%) indicated having difficulties covering basic needs (rent, food, heating and medicine) as a result of the lockdown measures.</w:t>
      </w:r>
    </w:p>
  </w:footnote>
  <w:footnote w:id="17">
    <w:p w14:paraId="1B6541C0" w14:textId="6ADDF702" w:rsidR="00230A72" w:rsidRPr="00FC1132" w:rsidRDefault="00230A72">
      <w:pPr>
        <w:pStyle w:val="FootnoteText"/>
        <w:rPr>
          <w:rFonts w:asciiTheme="majorBidi" w:hAnsiTheme="majorBidi" w:cstheme="majorBidi"/>
          <w:sz w:val="16"/>
          <w:szCs w:val="16"/>
        </w:rPr>
      </w:pPr>
      <w:r w:rsidRPr="00FC1132">
        <w:rPr>
          <w:rStyle w:val="FootnoteReference"/>
          <w:rFonts w:asciiTheme="majorBidi" w:hAnsiTheme="majorBidi" w:cstheme="majorBidi"/>
          <w:sz w:val="16"/>
          <w:szCs w:val="16"/>
        </w:rPr>
        <w:footnoteRef/>
      </w:r>
      <w:r w:rsidRPr="00FC1132">
        <w:rPr>
          <w:rFonts w:asciiTheme="majorBidi" w:hAnsiTheme="majorBidi" w:cstheme="majorBidi"/>
          <w:sz w:val="16"/>
          <w:szCs w:val="16"/>
        </w:rPr>
        <w:t xml:space="preserve"> 62% of women respondents indicated that “they feel at increased risk of suffering physical and psychological violence as a result of either/or increased tensions in the household and increased food insecurity, both of which have been caused by the crisis.; UN Women (2020), “Rapid Assessment of the Impact of COVID-19 on Vulnerable Women in Jordan”</w:t>
      </w:r>
    </w:p>
  </w:footnote>
  <w:footnote w:id="18">
    <w:p w14:paraId="11DC8BEB" w14:textId="77777777" w:rsidR="00230A72" w:rsidRPr="00163838" w:rsidRDefault="00230A72" w:rsidP="009A34FC">
      <w:pPr>
        <w:pStyle w:val="FootnoteText"/>
        <w:spacing w:after="0"/>
        <w:rPr>
          <w:rFonts w:ascii="Times New Roman" w:hAnsi="Times New Roman"/>
          <w:sz w:val="16"/>
          <w:szCs w:val="16"/>
        </w:rPr>
      </w:pPr>
      <w:r w:rsidRPr="00163838">
        <w:rPr>
          <w:rStyle w:val="FootnoteReference"/>
          <w:rFonts w:ascii="Times New Roman" w:hAnsi="Times New Roman"/>
          <w:sz w:val="16"/>
          <w:szCs w:val="16"/>
        </w:rPr>
        <w:footnoteRef/>
      </w:r>
      <w:r w:rsidRPr="00163838">
        <w:rPr>
          <w:rFonts w:ascii="Times New Roman" w:hAnsi="Times New Roman"/>
          <w:sz w:val="16"/>
          <w:szCs w:val="16"/>
        </w:rPr>
        <w:t xml:space="preserve"> 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19">
    <w:p w14:paraId="54F07144" w14:textId="77777777" w:rsidR="00230A72" w:rsidRPr="00163838" w:rsidRDefault="00230A72" w:rsidP="009A34FC">
      <w:pPr>
        <w:pStyle w:val="FootnoteText"/>
        <w:spacing w:after="0"/>
        <w:rPr>
          <w:rFonts w:ascii="Calibri" w:hAnsi="Calibri"/>
          <w:sz w:val="16"/>
          <w:szCs w:val="16"/>
        </w:rPr>
      </w:pPr>
      <w:r w:rsidRPr="00163838">
        <w:rPr>
          <w:rStyle w:val="FootnoteReference"/>
          <w:rFonts w:ascii="Times New Roman" w:hAnsi="Times New Roman"/>
          <w:sz w:val="16"/>
          <w:szCs w:val="16"/>
        </w:rPr>
        <w:footnoteRef/>
      </w:r>
      <w:r w:rsidRPr="00163838">
        <w:rPr>
          <w:rFonts w:ascii="Times New Roman" w:hAnsi="Times New Roman"/>
          <w:sz w:val="16"/>
          <w:szCs w:val="16"/>
        </w:rPr>
        <w:t xml:space="preserve"> It is recommended that projects use output indicators from the Strategic Plan IRRF, as relevant, in addition to project-specific results indicators. Indicators should be disaggregated by sex or for other targeted groups where relevant.</w:t>
      </w:r>
    </w:p>
  </w:footnote>
  <w:footnote w:id="20">
    <w:p w14:paraId="27360EB4" w14:textId="77777777" w:rsidR="00230A72" w:rsidRPr="00163838" w:rsidRDefault="00230A72" w:rsidP="001C2D1D">
      <w:pPr>
        <w:pStyle w:val="FootnoteText"/>
        <w:rPr>
          <w:rFonts w:ascii="Times New Roman" w:hAnsi="Times New Roman"/>
          <w:sz w:val="16"/>
          <w:szCs w:val="16"/>
        </w:rPr>
      </w:pPr>
      <w:r w:rsidRPr="00163838">
        <w:rPr>
          <w:rStyle w:val="FootnoteReference"/>
          <w:rFonts w:ascii="Times New Roman" w:hAnsi="Times New Roman"/>
          <w:sz w:val="16"/>
          <w:szCs w:val="16"/>
        </w:rPr>
        <w:footnoteRef/>
      </w:r>
      <w:r w:rsidRPr="00163838">
        <w:rPr>
          <w:rFonts w:ascii="Times New Roman" w:hAnsi="Times New Roman"/>
          <w:sz w:val="16"/>
          <w:szCs w:val="16"/>
        </w:rPr>
        <w:t xml:space="preserve"> Where applicable and possible, all data collected will be disaggregated by gender, age, vulnerability status etc. as defined in indicators. </w:t>
      </w:r>
    </w:p>
  </w:footnote>
  <w:footnote w:id="21">
    <w:p w14:paraId="5FDED06D" w14:textId="77777777" w:rsidR="00230A72" w:rsidRPr="00495469" w:rsidRDefault="00230A72" w:rsidP="001C2D1D">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22">
    <w:p w14:paraId="01EED8EB" w14:textId="77777777" w:rsidR="00230A72" w:rsidRPr="00F4678E" w:rsidRDefault="00230A72" w:rsidP="001C2D1D">
      <w:pPr>
        <w:pStyle w:val="FootnoteText"/>
        <w:rPr>
          <w:rFonts w:ascii="Calibri" w:hAnsi="Calibri"/>
          <w:sz w:val="16"/>
          <w:szCs w:val="16"/>
        </w:rPr>
      </w:pPr>
      <w:r w:rsidRPr="00F4678E">
        <w:rPr>
          <w:rStyle w:val="FootnoteReference"/>
          <w:rFonts w:ascii="Calibri" w:hAnsi="Calibri"/>
          <w:sz w:val="16"/>
          <w:szCs w:val="16"/>
        </w:rPr>
        <w:footnoteRef/>
      </w:r>
      <w:r w:rsidRPr="00F4678E">
        <w:rPr>
          <w:rFonts w:ascii="Calibri" w:hAnsi="Calibri"/>
          <w:sz w:val="16"/>
          <w:szCs w:val="16"/>
        </w:rPr>
        <w:t xml:space="preserve"> Cost definitions and classifications for programme and development effectiveness costs to be charged to the project are defined in the Executive Board decision DP/2010/32</w:t>
      </w:r>
    </w:p>
  </w:footnote>
  <w:footnote w:id="23">
    <w:p w14:paraId="43045164" w14:textId="77777777" w:rsidR="00230A72" w:rsidRPr="00ED57D5" w:rsidRDefault="00230A72" w:rsidP="001C2D1D">
      <w:pPr>
        <w:pStyle w:val="FootnoteText"/>
        <w:rPr>
          <w:rFonts w:ascii="Calibri" w:hAnsi="Calibri"/>
        </w:rPr>
      </w:pPr>
      <w:r w:rsidRPr="00F4678E">
        <w:rPr>
          <w:rStyle w:val="FootnoteReference"/>
          <w:sz w:val="16"/>
          <w:szCs w:val="16"/>
        </w:rPr>
        <w:footnoteRef/>
      </w:r>
      <w:r>
        <w:t xml:space="preserve"> </w:t>
      </w:r>
      <w:r w:rsidRPr="00F4678E">
        <w:rPr>
          <w:rFonts w:ascii="Calibri" w:hAnsi="Calibri" w:cs="Arial"/>
          <w:color w:val="333333"/>
          <w:sz w:val="16"/>
          <w:szCs w:val="16"/>
        </w:rPr>
        <w:t>Changes to a project budget affecting the scope (outputs), completion date, or total estimated project costs require a formal budget revision that must be signed by the project board.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24">
    <w:p w14:paraId="17B32EA4" w14:textId="77777777" w:rsidR="00230A72" w:rsidRDefault="00230A72">
      <w:pPr>
        <w:pStyle w:val="FootnoteText"/>
      </w:pPr>
      <w:r>
        <w:rPr>
          <w:rStyle w:val="FootnoteReference"/>
        </w:rPr>
        <w:footnoteRef/>
      </w:r>
      <w:r>
        <w:t xml:space="preserve"> </w:t>
      </w:r>
      <w:r w:rsidRPr="002E0C37">
        <w:rPr>
          <w:rFonts w:ascii="Calibri" w:hAnsi="Calibri" w:cs="Calibri"/>
          <w:sz w:val="20"/>
        </w:rPr>
        <w:t>This will be further reviewed and revised at the time of the project implementation so as to meet the urgent need of vulnerable population in the Kingdom.</w:t>
      </w:r>
    </w:p>
  </w:footnote>
  <w:footnote w:id="25">
    <w:p w14:paraId="501114BB" w14:textId="77777777" w:rsidR="00230A72" w:rsidRPr="00CD65D4" w:rsidRDefault="00230A72" w:rsidP="005E763F">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26">
    <w:p w14:paraId="3A552AE4" w14:textId="77777777" w:rsidR="00230A72" w:rsidRDefault="00230A72" w:rsidP="005E763F">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fund/programme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0EF1" w14:textId="77777777" w:rsidR="00230A72" w:rsidRPr="00453D4C" w:rsidRDefault="00230A72"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3098" w14:textId="4F738D59" w:rsidR="00230A72" w:rsidRPr="00AF6E8B" w:rsidRDefault="00230A72" w:rsidP="000776E9">
    <w:pPr>
      <w:rPr>
        <w:rFonts w:cs="Arial"/>
        <w:color w:val="002060"/>
        <w:sz w:val="20"/>
        <w:szCs w:val="20"/>
      </w:rPr>
    </w:pPr>
    <w:r>
      <w:rPr>
        <w:rFonts w:cs="Arial"/>
        <w:noProof/>
        <w:sz w:val="20"/>
        <w:szCs w:val="20"/>
      </w:rPr>
      <w:drawing>
        <wp:anchor distT="0" distB="0" distL="114300" distR="114300" simplePos="0" relativeHeight="251658240" behindDoc="0" locked="0" layoutInCell="1" allowOverlap="1" wp14:anchorId="61D8FBE7" wp14:editId="46F8B164">
          <wp:simplePos x="0" y="0"/>
          <wp:positionH relativeFrom="column">
            <wp:posOffset>5593080</wp:posOffset>
          </wp:positionH>
          <wp:positionV relativeFrom="paragraph">
            <wp:posOffset>0</wp:posOffset>
          </wp:positionV>
          <wp:extent cx="481965" cy="9575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14:paraId="6E2F0212" w14:textId="77777777" w:rsidR="00230A72" w:rsidRPr="00AF6E8B" w:rsidRDefault="00230A72" w:rsidP="000776E9">
    <w:pPr>
      <w:rPr>
        <w:rFonts w:cs="Arial"/>
        <w:color w:val="002060"/>
      </w:rPr>
    </w:pPr>
  </w:p>
  <w:p w14:paraId="1C6F57FD" w14:textId="77777777" w:rsidR="00230A72" w:rsidRPr="00AF6E8B" w:rsidRDefault="00230A72" w:rsidP="000776E9">
    <w:pPr>
      <w:jc w:val="center"/>
      <w:rPr>
        <w:rFonts w:cs="Arial"/>
        <w:b/>
        <w:color w:val="002060"/>
        <w:sz w:val="20"/>
        <w:szCs w:val="20"/>
        <w:u w:val="single"/>
      </w:rPr>
    </w:pPr>
    <w:r w:rsidRPr="00AF6E8B">
      <w:rPr>
        <w:rFonts w:cs="Arial"/>
        <w:b/>
        <w:color w:val="002060"/>
        <w:sz w:val="20"/>
        <w:szCs w:val="20"/>
        <w:u w:val="single"/>
      </w:rPr>
      <w:t>PROJECT DOCUMENT</w:t>
    </w:r>
  </w:p>
  <w:p w14:paraId="768F4AAA" w14:textId="77777777" w:rsidR="00230A72" w:rsidRPr="00CC7644" w:rsidRDefault="00230A72" w:rsidP="000776E9">
    <w:pPr>
      <w:jc w:val="center"/>
      <w:rPr>
        <w:rFonts w:cs="Arial"/>
        <w:b/>
        <w:iCs/>
        <w:color w:val="002060"/>
        <w:sz w:val="20"/>
        <w:szCs w:val="20"/>
        <w:u w:val="single"/>
      </w:rPr>
    </w:pPr>
    <w:r w:rsidRPr="00CC7644">
      <w:rPr>
        <w:rFonts w:cs="Arial"/>
        <w:b/>
        <w:iCs/>
        <w:color w:val="002060"/>
        <w:sz w:val="20"/>
        <w:szCs w:val="20"/>
        <w:u w:val="single"/>
      </w:rPr>
      <w:t>Jordan</w:t>
    </w:r>
  </w:p>
  <w:p w14:paraId="72306014" w14:textId="77777777" w:rsidR="00230A72" w:rsidRDefault="00230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1E8B" w14:textId="77777777" w:rsidR="00230A72" w:rsidRDefault="00230A72">
    <w:pPr>
      <w:pStyle w:val="Header"/>
      <w:rPr>
        <w:b/>
        <w:szCs w:val="22"/>
      </w:rPr>
    </w:pPr>
  </w:p>
  <w:p w14:paraId="74F488F1" w14:textId="77777777" w:rsidR="00230A72" w:rsidRPr="00DB520F" w:rsidRDefault="00230A72">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A32B" w14:textId="77777777" w:rsidR="00230A72" w:rsidRDefault="00230A72">
    <w:pPr>
      <w:pStyle w:val="Header"/>
      <w:rPr>
        <w:b/>
        <w:szCs w:val="22"/>
      </w:rPr>
    </w:pPr>
  </w:p>
  <w:p w14:paraId="086F7234" w14:textId="77777777" w:rsidR="00230A72" w:rsidRPr="00DB520F" w:rsidRDefault="00230A72">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45ABB"/>
    <w:multiLevelType w:val="hybridMultilevel"/>
    <w:tmpl w:val="1E108FA2"/>
    <w:lvl w:ilvl="0" w:tplc="9208DA34">
      <w:start w:val="1"/>
      <w:numFmt w:val="decimal"/>
      <w:lvlText w:val="%1."/>
      <w:lvlJc w:val="left"/>
      <w:pPr>
        <w:ind w:left="907" w:hanging="360"/>
      </w:pPr>
      <w:rPr>
        <w:rFonts w:hint="default"/>
      </w:rPr>
    </w:lvl>
    <w:lvl w:ilvl="1" w:tplc="D41603B6">
      <w:start w:val="1"/>
      <w:numFmt w:val="lowerLetter"/>
      <w:lvlText w:val="%2."/>
      <w:lvlJc w:val="left"/>
      <w:pPr>
        <w:ind w:left="1627" w:hanging="360"/>
      </w:pPr>
      <w:rPr>
        <w:b w:val="0"/>
        <w:bCs w:val="0"/>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0A464CDE"/>
    <w:multiLevelType w:val="hybridMultilevel"/>
    <w:tmpl w:val="982C5760"/>
    <w:lvl w:ilvl="0" w:tplc="52308694">
      <w:numFmt w:val="bullet"/>
      <w:lvlText w:val="-"/>
      <w:lvlJc w:val="left"/>
      <w:pPr>
        <w:ind w:left="720" w:hanging="360"/>
      </w:pPr>
      <w:rPr>
        <w:rFonts w:ascii="Karla" w:eastAsia="Karla" w:hAnsi="Karla"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D26BC"/>
    <w:multiLevelType w:val="hybridMultilevel"/>
    <w:tmpl w:val="526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9549A"/>
    <w:multiLevelType w:val="hybridMultilevel"/>
    <w:tmpl w:val="4F34F1D6"/>
    <w:lvl w:ilvl="0" w:tplc="4C84C7F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B0A9A"/>
    <w:multiLevelType w:val="hybridMultilevel"/>
    <w:tmpl w:val="0538ADF0"/>
    <w:lvl w:ilvl="0" w:tplc="55CC0E6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75605"/>
    <w:multiLevelType w:val="hybridMultilevel"/>
    <w:tmpl w:val="97227DCA"/>
    <w:lvl w:ilvl="0" w:tplc="0409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284B6D0D"/>
    <w:multiLevelType w:val="hybridMultilevel"/>
    <w:tmpl w:val="AA2A8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FE0161"/>
    <w:multiLevelType w:val="hybridMultilevel"/>
    <w:tmpl w:val="4250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62826"/>
    <w:multiLevelType w:val="hybridMultilevel"/>
    <w:tmpl w:val="2BA62826"/>
    <w:lvl w:ilvl="0" w:tplc="D6CE1EC8">
      <w:start w:val="1"/>
      <w:numFmt w:val="bullet"/>
      <w:lvlText w:val="-"/>
      <w:lvlJc w:val="left"/>
      <w:pPr>
        <w:tabs>
          <w:tab w:val="num" w:pos="720"/>
        </w:tabs>
        <w:ind w:left="720" w:hanging="360"/>
      </w:pPr>
      <w:rPr>
        <w:rFonts w:ascii="Arial" w:eastAsia="Times New Roman" w:hAnsi="Arial" w:cs="Arial" w:hint="default"/>
      </w:rPr>
    </w:lvl>
    <w:lvl w:ilvl="1" w:tplc="6630DAB4">
      <w:start w:val="1"/>
      <w:numFmt w:val="bullet"/>
      <w:lvlText w:val="o"/>
      <w:lvlJc w:val="left"/>
      <w:pPr>
        <w:tabs>
          <w:tab w:val="num" w:pos="1440"/>
        </w:tabs>
        <w:ind w:left="1440" w:hanging="360"/>
      </w:pPr>
      <w:rPr>
        <w:rFonts w:ascii="Courier New" w:hAnsi="Courier New" w:cs="Courier New" w:hint="default"/>
      </w:rPr>
    </w:lvl>
    <w:lvl w:ilvl="2" w:tplc="C44AD584">
      <w:start w:val="1"/>
      <w:numFmt w:val="bullet"/>
      <w:lvlText w:val=""/>
      <w:lvlJc w:val="left"/>
      <w:pPr>
        <w:tabs>
          <w:tab w:val="num" w:pos="2160"/>
        </w:tabs>
        <w:ind w:left="2160" w:hanging="360"/>
      </w:pPr>
      <w:rPr>
        <w:rFonts w:ascii="Wingdings" w:hAnsi="Wingdings" w:hint="default"/>
      </w:rPr>
    </w:lvl>
    <w:lvl w:ilvl="3" w:tplc="D4066A18">
      <w:start w:val="1"/>
      <w:numFmt w:val="bullet"/>
      <w:lvlText w:val=""/>
      <w:lvlJc w:val="left"/>
      <w:pPr>
        <w:tabs>
          <w:tab w:val="num" w:pos="2880"/>
        </w:tabs>
        <w:ind w:left="2880" w:hanging="360"/>
      </w:pPr>
      <w:rPr>
        <w:rFonts w:ascii="Symbol" w:hAnsi="Symbol" w:hint="default"/>
      </w:rPr>
    </w:lvl>
    <w:lvl w:ilvl="4" w:tplc="AED49468">
      <w:start w:val="1"/>
      <w:numFmt w:val="bullet"/>
      <w:lvlText w:val="o"/>
      <w:lvlJc w:val="left"/>
      <w:pPr>
        <w:tabs>
          <w:tab w:val="num" w:pos="3600"/>
        </w:tabs>
        <w:ind w:left="3600" w:hanging="360"/>
      </w:pPr>
      <w:rPr>
        <w:rFonts w:ascii="Courier New" w:hAnsi="Courier New" w:cs="Courier New" w:hint="default"/>
      </w:rPr>
    </w:lvl>
    <w:lvl w:ilvl="5" w:tplc="E47641F6">
      <w:start w:val="1"/>
      <w:numFmt w:val="bullet"/>
      <w:lvlText w:val=""/>
      <w:lvlJc w:val="left"/>
      <w:pPr>
        <w:tabs>
          <w:tab w:val="num" w:pos="4320"/>
        </w:tabs>
        <w:ind w:left="4320" w:hanging="360"/>
      </w:pPr>
      <w:rPr>
        <w:rFonts w:ascii="Wingdings" w:hAnsi="Wingdings" w:hint="default"/>
      </w:rPr>
    </w:lvl>
    <w:lvl w:ilvl="6" w:tplc="C602D49A">
      <w:start w:val="1"/>
      <w:numFmt w:val="bullet"/>
      <w:lvlText w:val=""/>
      <w:lvlJc w:val="left"/>
      <w:pPr>
        <w:tabs>
          <w:tab w:val="num" w:pos="5040"/>
        </w:tabs>
        <w:ind w:left="5040" w:hanging="360"/>
      </w:pPr>
      <w:rPr>
        <w:rFonts w:ascii="Symbol" w:hAnsi="Symbol" w:hint="default"/>
      </w:rPr>
    </w:lvl>
    <w:lvl w:ilvl="7" w:tplc="D812CF9E">
      <w:start w:val="1"/>
      <w:numFmt w:val="bullet"/>
      <w:lvlText w:val="o"/>
      <w:lvlJc w:val="left"/>
      <w:pPr>
        <w:tabs>
          <w:tab w:val="num" w:pos="5760"/>
        </w:tabs>
        <w:ind w:left="5760" w:hanging="360"/>
      </w:pPr>
      <w:rPr>
        <w:rFonts w:ascii="Courier New" w:hAnsi="Courier New" w:cs="Courier New" w:hint="default"/>
      </w:rPr>
    </w:lvl>
    <w:lvl w:ilvl="8" w:tplc="99748F5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9B5C0F"/>
    <w:multiLevelType w:val="hybridMultilevel"/>
    <w:tmpl w:val="AD54E858"/>
    <w:lvl w:ilvl="0" w:tplc="1A6614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777D"/>
    <w:multiLevelType w:val="hybridMultilevel"/>
    <w:tmpl w:val="91F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D3490"/>
    <w:multiLevelType w:val="hybridMultilevel"/>
    <w:tmpl w:val="D0D07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F7260"/>
    <w:multiLevelType w:val="hybridMultilevel"/>
    <w:tmpl w:val="CD18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265B1"/>
    <w:multiLevelType w:val="hybridMultilevel"/>
    <w:tmpl w:val="0378741C"/>
    <w:lvl w:ilvl="0" w:tplc="32266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90838"/>
    <w:multiLevelType w:val="hybridMultilevel"/>
    <w:tmpl w:val="F926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E502B"/>
    <w:multiLevelType w:val="multilevel"/>
    <w:tmpl w:val="E2C8B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956BFA"/>
    <w:multiLevelType w:val="hybridMultilevel"/>
    <w:tmpl w:val="425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0A30"/>
    <w:multiLevelType w:val="hybridMultilevel"/>
    <w:tmpl w:val="4592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11808"/>
    <w:multiLevelType w:val="hybridMultilevel"/>
    <w:tmpl w:val="203A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C6D79"/>
    <w:multiLevelType w:val="hybridMultilevel"/>
    <w:tmpl w:val="6916FC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F21678"/>
    <w:multiLevelType w:val="hybridMultilevel"/>
    <w:tmpl w:val="4C887F74"/>
    <w:lvl w:ilvl="0" w:tplc="82766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6333B"/>
    <w:multiLevelType w:val="hybridMultilevel"/>
    <w:tmpl w:val="32427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ED0796"/>
    <w:multiLevelType w:val="hybridMultilevel"/>
    <w:tmpl w:val="792636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5C97524"/>
    <w:multiLevelType w:val="hybridMultilevel"/>
    <w:tmpl w:val="784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C717E"/>
    <w:multiLevelType w:val="hybridMultilevel"/>
    <w:tmpl w:val="8452B750"/>
    <w:lvl w:ilvl="0" w:tplc="B3BA6AB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64E58"/>
    <w:multiLevelType w:val="hybridMultilevel"/>
    <w:tmpl w:val="E89E7C20"/>
    <w:lvl w:ilvl="0" w:tplc="C15A0EE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3"/>
  </w:num>
  <w:num w:numId="4">
    <w:abstractNumId w:val="3"/>
  </w:num>
  <w:num w:numId="5">
    <w:abstractNumId w:val="16"/>
  </w:num>
  <w:num w:numId="6">
    <w:abstractNumId w:val="21"/>
  </w:num>
  <w:num w:numId="7">
    <w:abstractNumId w:val="12"/>
  </w:num>
  <w:num w:numId="8">
    <w:abstractNumId w:val="27"/>
  </w:num>
  <w:num w:numId="9">
    <w:abstractNumId w:val="32"/>
  </w:num>
  <w:num w:numId="10">
    <w:abstractNumId w:val="30"/>
  </w:num>
  <w:num w:numId="11">
    <w:abstractNumId w:val="24"/>
  </w:num>
  <w:num w:numId="12">
    <w:abstractNumId w:val="26"/>
  </w:num>
  <w:num w:numId="13">
    <w:abstractNumId w:val="0"/>
  </w:num>
  <w:num w:numId="14">
    <w:abstractNumId w:val="34"/>
  </w:num>
  <w:num w:numId="15">
    <w:abstractNumId w:val="1"/>
  </w:num>
  <w:num w:numId="16">
    <w:abstractNumId w:val="7"/>
  </w:num>
  <w:num w:numId="17">
    <w:abstractNumId w:val="14"/>
  </w:num>
  <w:num w:numId="18">
    <w:abstractNumId w:val="36"/>
  </w:num>
  <w:num w:numId="19">
    <w:abstractNumId w:val="35"/>
  </w:num>
  <w:num w:numId="20">
    <w:abstractNumId w:val="22"/>
  </w:num>
  <w:num w:numId="21">
    <w:abstractNumId w:val="10"/>
  </w:num>
  <w:num w:numId="22">
    <w:abstractNumId w:val="11"/>
  </w:num>
  <w:num w:numId="23">
    <w:abstractNumId w:val="28"/>
  </w:num>
  <w:num w:numId="24">
    <w:abstractNumId w:val="17"/>
  </w:num>
  <w:num w:numId="25">
    <w:abstractNumId w:val="29"/>
  </w:num>
  <w:num w:numId="26">
    <w:abstractNumId w:val="4"/>
  </w:num>
  <w:num w:numId="27">
    <w:abstractNumId w:val="8"/>
  </w:num>
  <w:num w:numId="28">
    <w:abstractNumId w:val="6"/>
  </w:num>
  <w:num w:numId="29">
    <w:abstractNumId w:val="20"/>
  </w:num>
  <w:num w:numId="30">
    <w:abstractNumId w:val="23"/>
  </w:num>
  <w:num w:numId="31">
    <w:abstractNumId w:val="15"/>
  </w:num>
  <w:num w:numId="32">
    <w:abstractNumId w:val="18"/>
  </w:num>
  <w:num w:numId="33">
    <w:abstractNumId w:val="19"/>
  </w:num>
  <w:num w:numId="34">
    <w:abstractNumId w:val="9"/>
  </w:num>
  <w:num w:numId="35">
    <w:abstractNumId w:val="2"/>
  </w:num>
  <w:num w:numId="36">
    <w:abstractNumId w:val="31"/>
  </w:num>
  <w:num w:numId="37">
    <w:abstractNumId w:val="25"/>
  </w:num>
  <w:num w:numId="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0NDE3NjAzNTOzMDZS0lEKTi0uzszPAykwrgUAZKVcAywAAAA="/>
  </w:docVars>
  <w:rsids>
    <w:rsidRoot w:val="00991FF7"/>
    <w:rsid w:val="00002B8A"/>
    <w:rsid w:val="0000315C"/>
    <w:rsid w:val="0000496A"/>
    <w:rsid w:val="000049CA"/>
    <w:rsid w:val="00004BF2"/>
    <w:rsid w:val="000053A2"/>
    <w:rsid w:val="000057AA"/>
    <w:rsid w:val="000064FF"/>
    <w:rsid w:val="000072CF"/>
    <w:rsid w:val="0000794F"/>
    <w:rsid w:val="00010930"/>
    <w:rsid w:val="000111B0"/>
    <w:rsid w:val="000118A0"/>
    <w:rsid w:val="00011915"/>
    <w:rsid w:val="00014916"/>
    <w:rsid w:val="000156C6"/>
    <w:rsid w:val="00015FF2"/>
    <w:rsid w:val="000164CD"/>
    <w:rsid w:val="0001738D"/>
    <w:rsid w:val="0001785A"/>
    <w:rsid w:val="00021880"/>
    <w:rsid w:val="00022DE9"/>
    <w:rsid w:val="00027EE6"/>
    <w:rsid w:val="00030A48"/>
    <w:rsid w:val="00031E16"/>
    <w:rsid w:val="00031EB7"/>
    <w:rsid w:val="00032ADE"/>
    <w:rsid w:val="0003356C"/>
    <w:rsid w:val="000339F4"/>
    <w:rsid w:val="0003461C"/>
    <w:rsid w:val="00034AF4"/>
    <w:rsid w:val="00037234"/>
    <w:rsid w:val="00040699"/>
    <w:rsid w:val="000409A5"/>
    <w:rsid w:val="00041871"/>
    <w:rsid w:val="00041F71"/>
    <w:rsid w:val="00043095"/>
    <w:rsid w:val="00043855"/>
    <w:rsid w:val="00043953"/>
    <w:rsid w:val="00043B5F"/>
    <w:rsid w:val="00044654"/>
    <w:rsid w:val="00044655"/>
    <w:rsid w:val="00044EDA"/>
    <w:rsid w:val="00045877"/>
    <w:rsid w:val="00047361"/>
    <w:rsid w:val="00050A3B"/>
    <w:rsid w:val="00051477"/>
    <w:rsid w:val="00051C87"/>
    <w:rsid w:val="000531FE"/>
    <w:rsid w:val="00053313"/>
    <w:rsid w:val="00053AEB"/>
    <w:rsid w:val="0005468D"/>
    <w:rsid w:val="00055972"/>
    <w:rsid w:val="000603BC"/>
    <w:rsid w:val="00060EF4"/>
    <w:rsid w:val="000615B0"/>
    <w:rsid w:val="00061C00"/>
    <w:rsid w:val="00062A21"/>
    <w:rsid w:val="00062E78"/>
    <w:rsid w:val="0006349F"/>
    <w:rsid w:val="000641CC"/>
    <w:rsid w:val="00066F14"/>
    <w:rsid w:val="00071471"/>
    <w:rsid w:val="000717D8"/>
    <w:rsid w:val="00071D33"/>
    <w:rsid w:val="000734EF"/>
    <w:rsid w:val="00073F7E"/>
    <w:rsid w:val="000748FE"/>
    <w:rsid w:val="00074963"/>
    <w:rsid w:val="00074B06"/>
    <w:rsid w:val="00075892"/>
    <w:rsid w:val="00077684"/>
    <w:rsid w:val="000776E9"/>
    <w:rsid w:val="00077969"/>
    <w:rsid w:val="000818F5"/>
    <w:rsid w:val="0008221B"/>
    <w:rsid w:val="0008309A"/>
    <w:rsid w:val="00084487"/>
    <w:rsid w:val="00085E84"/>
    <w:rsid w:val="00086195"/>
    <w:rsid w:val="000868AE"/>
    <w:rsid w:val="00086E77"/>
    <w:rsid w:val="000873ED"/>
    <w:rsid w:val="00087510"/>
    <w:rsid w:val="00090431"/>
    <w:rsid w:val="0009232C"/>
    <w:rsid w:val="00092A3C"/>
    <w:rsid w:val="00092A70"/>
    <w:rsid w:val="000938B6"/>
    <w:rsid w:val="000939D5"/>
    <w:rsid w:val="0009615A"/>
    <w:rsid w:val="000963A1"/>
    <w:rsid w:val="00097209"/>
    <w:rsid w:val="000A0416"/>
    <w:rsid w:val="000A0830"/>
    <w:rsid w:val="000A0A4E"/>
    <w:rsid w:val="000A1725"/>
    <w:rsid w:val="000A22F4"/>
    <w:rsid w:val="000A3870"/>
    <w:rsid w:val="000A5A14"/>
    <w:rsid w:val="000A60FE"/>
    <w:rsid w:val="000A7B1D"/>
    <w:rsid w:val="000B063B"/>
    <w:rsid w:val="000B213F"/>
    <w:rsid w:val="000B2FE7"/>
    <w:rsid w:val="000B3242"/>
    <w:rsid w:val="000B3A46"/>
    <w:rsid w:val="000B3D30"/>
    <w:rsid w:val="000B3F51"/>
    <w:rsid w:val="000B4494"/>
    <w:rsid w:val="000B48E2"/>
    <w:rsid w:val="000B4B2D"/>
    <w:rsid w:val="000B4E4C"/>
    <w:rsid w:val="000B660E"/>
    <w:rsid w:val="000B6775"/>
    <w:rsid w:val="000B7062"/>
    <w:rsid w:val="000C49F5"/>
    <w:rsid w:val="000C4DDD"/>
    <w:rsid w:val="000C7CE7"/>
    <w:rsid w:val="000D0298"/>
    <w:rsid w:val="000D0EAD"/>
    <w:rsid w:val="000D2E24"/>
    <w:rsid w:val="000D3E25"/>
    <w:rsid w:val="000D5FE7"/>
    <w:rsid w:val="000D65BC"/>
    <w:rsid w:val="000E01BB"/>
    <w:rsid w:val="000E2455"/>
    <w:rsid w:val="000E29A8"/>
    <w:rsid w:val="000E3CEC"/>
    <w:rsid w:val="000E506E"/>
    <w:rsid w:val="000E6A6B"/>
    <w:rsid w:val="000F3889"/>
    <w:rsid w:val="000F4EE2"/>
    <w:rsid w:val="000F517F"/>
    <w:rsid w:val="000F5F43"/>
    <w:rsid w:val="000F5F49"/>
    <w:rsid w:val="000F79BE"/>
    <w:rsid w:val="00100727"/>
    <w:rsid w:val="00101F9C"/>
    <w:rsid w:val="00101F9E"/>
    <w:rsid w:val="00102592"/>
    <w:rsid w:val="00103EC5"/>
    <w:rsid w:val="00104065"/>
    <w:rsid w:val="00104EDC"/>
    <w:rsid w:val="00104FDC"/>
    <w:rsid w:val="001053F1"/>
    <w:rsid w:val="00106518"/>
    <w:rsid w:val="00107ECE"/>
    <w:rsid w:val="001116C2"/>
    <w:rsid w:val="00112A00"/>
    <w:rsid w:val="00113A56"/>
    <w:rsid w:val="001141FC"/>
    <w:rsid w:val="00115EE4"/>
    <w:rsid w:val="00115EED"/>
    <w:rsid w:val="00116DF3"/>
    <w:rsid w:val="00117C47"/>
    <w:rsid w:val="001201B7"/>
    <w:rsid w:val="00123A7A"/>
    <w:rsid w:val="00124E05"/>
    <w:rsid w:val="00125DA2"/>
    <w:rsid w:val="001263B2"/>
    <w:rsid w:val="001267FA"/>
    <w:rsid w:val="00126D40"/>
    <w:rsid w:val="00130AC0"/>
    <w:rsid w:val="00130D13"/>
    <w:rsid w:val="00131834"/>
    <w:rsid w:val="00131DCD"/>
    <w:rsid w:val="0013201B"/>
    <w:rsid w:val="001329C2"/>
    <w:rsid w:val="00132EE7"/>
    <w:rsid w:val="00133DF1"/>
    <w:rsid w:val="00133EA5"/>
    <w:rsid w:val="00134596"/>
    <w:rsid w:val="00135649"/>
    <w:rsid w:val="00135EAB"/>
    <w:rsid w:val="00136624"/>
    <w:rsid w:val="0013764C"/>
    <w:rsid w:val="00137960"/>
    <w:rsid w:val="00137EB2"/>
    <w:rsid w:val="00140058"/>
    <w:rsid w:val="00141139"/>
    <w:rsid w:val="001411C6"/>
    <w:rsid w:val="00142F94"/>
    <w:rsid w:val="001434C9"/>
    <w:rsid w:val="00143A1A"/>
    <w:rsid w:val="00143F97"/>
    <w:rsid w:val="001441EC"/>
    <w:rsid w:val="00144D89"/>
    <w:rsid w:val="00146350"/>
    <w:rsid w:val="00146DAE"/>
    <w:rsid w:val="001470B6"/>
    <w:rsid w:val="00147411"/>
    <w:rsid w:val="001477BF"/>
    <w:rsid w:val="001522D5"/>
    <w:rsid w:val="00152720"/>
    <w:rsid w:val="001535D9"/>
    <w:rsid w:val="0015467F"/>
    <w:rsid w:val="00154A9F"/>
    <w:rsid w:val="00154C7E"/>
    <w:rsid w:val="001555BB"/>
    <w:rsid w:val="00155DA1"/>
    <w:rsid w:val="0015711D"/>
    <w:rsid w:val="001577E1"/>
    <w:rsid w:val="00157CA0"/>
    <w:rsid w:val="001604EB"/>
    <w:rsid w:val="00161B64"/>
    <w:rsid w:val="00163838"/>
    <w:rsid w:val="0016464E"/>
    <w:rsid w:val="00167101"/>
    <w:rsid w:val="00167302"/>
    <w:rsid w:val="00167C53"/>
    <w:rsid w:val="00170B7F"/>
    <w:rsid w:val="00171649"/>
    <w:rsid w:val="0017169E"/>
    <w:rsid w:val="00172261"/>
    <w:rsid w:val="001722E7"/>
    <w:rsid w:val="001730A7"/>
    <w:rsid w:val="00174E89"/>
    <w:rsid w:val="00175CDA"/>
    <w:rsid w:val="00181137"/>
    <w:rsid w:val="00181156"/>
    <w:rsid w:val="00181491"/>
    <w:rsid w:val="00181672"/>
    <w:rsid w:val="00182FDC"/>
    <w:rsid w:val="00183C2F"/>
    <w:rsid w:val="00184097"/>
    <w:rsid w:val="00184AA4"/>
    <w:rsid w:val="001858C0"/>
    <w:rsid w:val="00185E47"/>
    <w:rsid w:val="00190676"/>
    <w:rsid w:val="00190860"/>
    <w:rsid w:val="00190A48"/>
    <w:rsid w:val="00192618"/>
    <w:rsid w:val="00192BB8"/>
    <w:rsid w:val="00193446"/>
    <w:rsid w:val="00193B92"/>
    <w:rsid w:val="00194BA9"/>
    <w:rsid w:val="001975F5"/>
    <w:rsid w:val="001A07B5"/>
    <w:rsid w:val="001A0A2E"/>
    <w:rsid w:val="001A1072"/>
    <w:rsid w:val="001A1150"/>
    <w:rsid w:val="001A1B91"/>
    <w:rsid w:val="001A2B06"/>
    <w:rsid w:val="001A35E7"/>
    <w:rsid w:val="001A4475"/>
    <w:rsid w:val="001A5EFB"/>
    <w:rsid w:val="001A615C"/>
    <w:rsid w:val="001B0885"/>
    <w:rsid w:val="001B14E4"/>
    <w:rsid w:val="001B30A4"/>
    <w:rsid w:val="001B33D4"/>
    <w:rsid w:val="001B406A"/>
    <w:rsid w:val="001B4A5F"/>
    <w:rsid w:val="001B5BE3"/>
    <w:rsid w:val="001B718D"/>
    <w:rsid w:val="001B774C"/>
    <w:rsid w:val="001B782A"/>
    <w:rsid w:val="001B7B76"/>
    <w:rsid w:val="001C0394"/>
    <w:rsid w:val="001C0955"/>
    <w:rsid w:val="001C0CF1"/>
    <w:rsid w:val="001C2D1D"/>
    <w:rsid w:val="001C3EA5"/>
    <w:rsid w:val="001C3F29"/>
    <w:rsid w:val="001C4BDC"/>
    <w:rsid w:val="001C5460"/>
    <w:rsid w:val="001C55E4"/>
    <w:rsid w:val="001C5F9C"/>
    <w:rsid w:val="001C60D2"/>
    <w:rsid w:val="001C759B"/>
    <w:rsid w:val="001D0858"/>
    <w:rsid w:val="001D0B24"/>
    <w:rsid w:val="001D0CDC"/>
    <w:rsid w:val="001D0F8F"/>
    <w:rsid w:val="001D1221"/>
    <w:rsid w:val="001D17A7"/>
    <w:rsid w:val="001D1CA5"/>
    <w:rsid w:val="001D3498"/>
    <w:rsid w:val="001D43C8"/>
    <w:rsid w:val="001D55D3"/>
    <w:rsid w:val="001D70AA"/>
    <w:rsid w:val="001E06D4"/>
    <w:rsid w:val="001E07D0"/>
    <w:rsid w:val="001E14F1"/>
    <w:rsid w:val="001E340C"/>
    <w:rsid w:val="001E3BA2"/>
    <w:rsid w:val="001E3C25"/>
    <w:rsid w:val="001E44BD"/>
    <w:rsid w:val="001E6821"/>
    <w:rsid w:val="001E6BDC"/>
    <w:rsid w:val="001E792B"/>
    <w:rsid w:val="001E79F4"/>
    <w:rsid w:val="001F04C2"/>
    <w:rsid w:val="001F05B1"/>
    <w:rsid w:val="001F1500"/>
    <w:rsid w:val="001F1717"/>
    <w:rsid w:val="001F18DE"/>
    <w:rsid w:val="001F343D"/>
    <w:rsid w:val="001F4297"/>
    <w:rsid w:val="001F4B06"/>
    <w:rsid w:val="001F51F2"/>
    <w:rsid w:val="001F5646"/>
    <w:rsid w:val="001F6181"/>
    <w:rsid w:val="001F6DA7"/>
    <w:rsid w:val="001F6DFF"/>
    <w:rsid w:val="001F74AA"/>
    <w:rsid w:val="001F7DD5"/>
    <w:rsid w:val="002016CF"/>
    <w:rsid w:val="00201B49"/>
    <w:rsid w:val="00203B97"/>
    <w:rsid w:val="00204ACD"/>
    <w:rsid w:val="00204BCC"/>
    <w:rsid w:val="00204E38"/>
    <w:rsid w:val="002053AE"/>
    <w:rsid w:val="00206601"/>
    <w:rsid w:val="00206C48"/>
    <w:rsid w:val="002078C3"/>
    <w:rsid w:val="00207C3F"/>
    <w:rsid w:val="00210C3B"/>
    <w:rsid w:val="00210C98"/>
    <w:rsid w:val="002110E8"/>
    <w:rsid w:val="00211DBB"/>
    <w:rsid w:val="0021216E"/>
    <w:rsid w:val="00212C9E"/>
    <w:rsid w:val="002134C7"/>
    <w:rsid w:val="00214A3C"/>
    <w:rsid w:val="00214FCC"/>
    <w:rsid w:val="002152D0"/>
    <w:rsid w:val="002154AF"/>
    <w:rsid w:val="00216441"/>
    <w:rsid w:val="00216A71"/>
    <w:rsid w:val="00216D73"/>
    <w:rsid w:val="00216FC7"/>
    <w:rsid w:val="002171BB"/>
    <w:rsid w:val="00217671"/>
    <w:rsid w:val="00220DC6"/>
    <w:rsid w:val="00220E60"/>
    <w:rsid w:val="0022110D"/>
    <w:rsid w:val="0022177A"/>
    <w:rsid w:val="00221CCB"/>
    <w:rsid w:val="00223683"/>
    <w:rsid w:val="00224624"/>
    <w:rsid w:val="00224B4E"/>
    <w:rsid w:val="002250C4"/>
    <w:rsid w:val="0022681B"/>
    <w:rsid w:val="00226D1B"/>
    <w:rsid w:val="00226EED"/>
    <w:rsid w:val="00230A72"/>
    <w:rsid w:val="00230B72"/>
    <w:rsid w:val="002317AF"/>
    <w:rsid w:val="00233370"/>
    <w:rsid w:val="00233578"/>
    <w:rsid w:val="00234C8A"/>
    <w:rsid w:val="00235346"/>
    <w:rsid w:val="00235641"/>
    <w:rsid w:val="00235F3D"/>
    <w:rsid w:val="00236036"/>
    <w:rsid w:val="002367F0"/>
    <w:rsid w:val="00236B9C"/>
    <w:rsid w:val="00237450"/>
    <w:rsid w:val="00237B80"/>
    <w:rsid w:val="00237F63"/>
    <w:rsid w:val="0024176F"/>
    <w:rsid w:val="0024180B"/>
    <w:rsid w:val="0024263D"/>
    <w:rsid w:val="0024292C"/>
    <w:rsid w:val="00242F0F"/>
    <w:rsid w:val="00243370"/>
    <w:rsid w:val="0024437D"/>
    <w:rsid w:val="0024500E"/>
    <w:rsid w:val="002461E1"/>
    <w:rsid w:val="00246251"/>
    <w:rsid w:val="002463A5"/>
    <w:rsid w:val="00246539"/>
    <w:rsid w:val="002466AB"/>
    <w:rsid w:val="00246A04"/>
    <w:rsid w:val="00246BC6"/>
    <w:rsid w:val="00247233"/>
    <w:rsid w:val="002475CF"/>
    <w:rsid w:val="00247B33"/>
    <w:rsid w:val="002509A8"/>
    <w:rsid w:val="00252652"/>
    <w:rsid w:val="00252DF9"/>
    <w:rsid w:val="0025442F"/>
    <w:rsid w:val="00254F75"/>
    <w:rsid w:val="0025523F"/>
    <w:rsid w:val="0025572B"/>
    <w:rsid w:val="00260921"/>
    <w:rsid w:val="002614F7"/>
    <w:rsid w:val="00261EE0"/>
    <w:rsid w:val="00262497"/>
    <w:rsid w:val="0026344A"/>
    <w:rsid w:val="00263EA7"/>
    <w:rsid w:val="00264CF7"/>
    <w:rsid w:val="002650C9"/>
    <w:rsid w:val="002655CE"/>
    <w:rsid w:val="00265AF0"/>
    <w:rsid w:val="00266278"/>
    <w:rsid w:val="002678BD"/>
    <w:rsid w:val="00273548"/>
    <w:rsid w:val="00274AD6"/>
    <w:rsid w:val="00277329"/>
    <w:rsid w:val="00277B4A"/>
    <w:rsid w:val="00277CFA"/>
    <w:rsid w:val="00277FF0"/>
    <w:rsid w:val="00282C64"/>
    <w:rsid w:val="00282FAB"/>
    <w:rsid w:val="00282FDF"/>
    <w:rsid w:val="00283637"/>
    <w:rsid w:val="00283739"/>
    <w:rsid w:val="00283804"/>
    <w:rsid w:val="0028409D"/>
    <w:rsid w:val="002846F8"/>
    <w:rsid w:val="002852DA"/>
    <w:rsid w:val="00285E62"/>
    <w:rsid w:val="00287241"/>
    <w:rsid w:val="00287B8B"/>
    <w:rsid w:val="00287C23"/>
    <w:rsid w:val="00287C3F"/>
    <w:rsid w:val="002906AA"/>
    <w:rsid w:val="00291B8C"/>
    <w:rsid w:val="00292E35"/>
    <w:rsid w:val="0029421D"/>
    <w:rsid w:val="00294262"/>
    <w:rsid w:val="00296F57"/>
    <w:rsid w:val="002A0800"/>
    <w:rsid w:val="002A1D5A"/>
    <w:rsid w:val="002A4135"/>
    <w:rsid w:val="002A528B"/>
    <w:rsid w:val="002A570F"/>
    <w:rsid w:val="002A5C87"/>
    <w:rsid w:val="002A6344"/>
    <w:rsid w:val="002A6349"/>
    <w:rsid w:val="002A7441"/>
    <w:rsid w:val="002B104C"/>
    <w:rsid w:val="002B130F"/>
    <w:rsid w:val="002B1A24"/>
    <w:rsid w:val="002B1A4A"/>
    <w:rsid w:val="002B2D89"/>
    <w:rsid w:val="002B3138"/>
    <w:rsid w:val="002B3A47"/>
    <w:rsid w:val="002B5689"/>
    <w:rsid w:val="002B60B4"/>
    <w:rsid w:val="002B6399"/>
    <w:rsid w:val="002B7BD9"/>
    <w:rsid w:val="002B7D87"/>
    <w:rsid w:val="002C0ED5"/>
    <w:rsid w:val="002C0F93"/>
    <w:rsid w:val="002C133E"/>
    <w:rsid w:val="002C26FB"/>
    <w:rsid w:val="002C29A3"/>
    <w:rsid w:val="002C3155"/>
    <w:rsid w:val="002C42F1"/>
    <w:rsid w:val="002C457E"/>
    <w:rsid w:val="002C5AB4"/>
    <w:rsid w:val="002C75BE"/>
    <w:rsid w:val="002C7759"/>
    <w:rsid w:val="002D04B8"/>
    <w:rsid w:val="002D17F8"/>
    <w:rsid w:val="002D4549"/>
    <w:rsid w:val="002D49DD"/>
    <w:rsid w:val="002D4BFE"/>
    <w:rsid w:val="002D4D04"/>
    <w:rsid w:val="002D4EA1"/>
    <w:rsid w:val="002D5B1A"/>
    <w:rsid w:val="002D6E22"/>
    <w:rsid w:val="002D7ADF"/>
    <w:rsid w:val="002E0C37"/>
    <w:rsid w:val="002E1BF4"/>
    <w:rsid w:val="002E1E5A"/>
    <w:rsid w:val="002E3481"/>
    <w:rsid w:val="002E3DD1"/>
    <w:rsid w:val="002E4553"/>
    <w:rsid w:val="002E506B"/>
    <w:rsid w:val="002E61DF"/>
    <w:rsid w:val="002E6857"/>
    <w:rsid w:val="002E7232"/>
    <w:rsid w:val="002F117D"/>
    <w:rsid w:val="002F2814"/>
    <w:rsid w:val="002F2E10"/>
    <w:rsid w:val="002F3343"/>
    <w:rsid w:val="002F55B9"/>
    <w:rsid w:val="002F615E"/>
    <w:rsid w:val="002F7EC7"/>
    <w:rsid w:val="003003D2"/>
    <w:rsid w:val="00301F6B"/>
    <w:rsid w:val="00302288"/>
    <w:rsid w:val="003027DB"/>
    <w:rsid w:val="00303982"/>
    <w:rsid w:val="00303A27"/>
    <w:rsid w:val="00303D06"/>
    <w:rsid w:val="003041EA"/>
    <w:rsid w:val="003049B2"/>
    <w:rsid w:val="0030570E"/>
    <w:rsid w:val="003065F1"/>
    <w:rsid w:val="003069DF"/>
    <w:rsid w:val="00306FDE"/>
    <w:rsid w:val="0030798F"/>
    <w:rsid w:val="00312071"/>
    <w:rsid w:val="00312A4E"/>
    <w:rsid w:val="00314B45"/>
    <w:rsid w:val="00314CAF"/>
    <w:rsid w:val="003156E0"/>
    <w:rsid w:val="00315ADA"/>
    <w:rsid w:val="00315F9D"/>
    <w:rsid w:val="00316445"/>
    <w:rsid w:val="00316583"/>
    <w:rsid w:val="00317757"/>
    <w:rsid w:val="0032013F"/>
    <w:rsid w:val="00320666"/>
    <w:rsid w:val="00321193"/>
    <w:rsid w:val="003212A4"/>
    <w:rsid w:val="00321457"/>
    <w:rsid w:val="00321F64"/>
    <w:rsid w:val="0032302E"/>
    <w:rsid w:val="00323613"/>
    <w:rsid w:val="0032365E"/>
    <w:rsid w:val="003248C7"/>
    <w:rsid w:val="003249D4"/>
    <w:rsid w:val="003250C1"/>
    <w:rsid w:val="003257DC"/>
    <w:rsid w:val="0032605F"/>
    <w:rsid w:val="003262A4"/>
    <w:rsid w:val="00327BE1"/>
    <w:rsid w:val="003302C2"/>
    <w:rsid w:val="003312A5"/>
    <w:rsid w:val="003315F6"/>
    <w:rsid w:val="00331810"/>
    <w:rsid w:val="00335154"/>
    <w:rsid w:val="0033621C"/>
    <w:rsid w:val="00336C3F"/>
    <w:rsid w:val="00337722"/>
    <w:rsid w:val="00337A1D"/>
    <w:rsid w:val="00337FA7"/>
    <w:rsid w:val="00340E23"/>
    <w:rsid w:val="00341A23"/>
    <w:rsid w:val="003437C6"/>
    <w:rsid w:val="00343C7E"/>
    <w:rsid w:val="00344587"/>
    <w:rsid w:val="0034529B"/>
    <w:rsid w:val="003462BE"/>
    <w:rsid w:val="0034663D"/>
    <w:rsid w:val="00347101"/>
    <w:rsid w:val="003474E5"/>
    <w:rsid w:val="003508AE"/>
    <w:rsid w:val="00350D70"/>
    <w:rsid w:val="00350E81"/>
    <w:rsid w:val="0035310F"/>
    <w:rsid w:val="00356B7E"/>
    <w:rsid w:val="003621DE"/>
    <w:rsid w:val="00362818"/>
    <w:rsid w:val="003629F2"/>
    <w:rsid w:val="003634A7"/>
    <w:rsid w:val="003650E3"/>
    <w:rsid w:val="0036581F"/>
    <w:rsid w:val="0037132E"/>
    <w:rsid w:val="003714D3"/>
    <w:rsid w:val="003727E7"/>
    <w:rsid w:val="003731DF"/>
    <w:rsid w:val="00373AD3"/>
    <w:rsid w:val="00374348"/>
    <w:rsid w:val="003746AE"/>
    <w:rsid w:val="003747AD"/>
    <w:rsid w:val="003758BF"/>
    <w:rsid w:val="00375CA3"/>
    <w:rsid w:val="003765D4"/>
    <w:rsid w:val="00377132"/>
    <w:rsid w:val="00381E69"/>
    <w:rsid w:val="003825CA"/>
    <w:rsid w:val="003830B6"/>
    <w:rsid w:val="00384ABD"/>
    <w:rsid w:val="0038628D"/>
    <w:rsid w:val="00386971"/>
    <w:rsid w:val="00386A90"/>
    <w:rsid w:val="00386D8D"/>
    <w:rsid w:val="003871E1"/>
    <w:rsid w:val="003916A1"/>
    <w:rsid w:val="00391E07"/>
    <w:rsid w:val="00392E99"/>
    <w:rsid w:val="003931D1"/>
    <w:rsid w:val="0039354C"/>
    <w:rsid w:val="00394B93"/>
    <w:rsid w:val="00394C21"/>
    <w:rsid w:val="0039584B"/>
    <w:rsid w:val="00396601"/>
    <w:rsid w:val="00396EB2"/>
    <w:rsid w:val="00396F09"/>
    <w:rsid w:val="00397D96"/>
    <w:rsid w:val="003A0E46"/>
    <w:rsid w:val="003A15D0"/>
    <w:rsid w:val="003A16E2"/>
    <w:rsid w:val="003A244A"/>
    <w:rsid w:val="003A6046"/>
    <w:rsid w:val="003A750E"/>
    <w:rsid w:val="003B183A"/>
    <w:rsid w:val="003B1B6B"/>
    <w:rsid w:val="003B2278"/>
    <w:rsid w:val="003B2A5A"/>
    <w:rsid w:val="003B349F"/>
    <w:rsid w:val="003B3582"/>
    <w:rsid w:val="003B37DC"/>
    <w:rsid w:val="003B3FAE"/>
    <w:rsid w:val="003B4586"/>
    <w:rsid w:val="003B572A"/>
    <w:rsid w:val="003B60DC"/>
    <w:rsid w:val="003B6580"/>
    <w:rsid w:val="003B77AE"/>
    <w:rsid w:val="003C0776"/>
    <w:rsid w:val="003C0973"/>
    <w:rsid w:val="003C0FEB"/>
    <w:rsid w:val="003C15F5"/>
    <w:rsid w:val="003C31CA"/>
    <w:rsid w:val="003C3AA0"/>
    <w:rsid w:val="003C4190"/>
    <w:rsid w:val="003C4481"/>
    <w:rsid w:val="003C4DBD"/>
    <w:rsid w:val="003C64E8"/>
    <w:rsid w:val="003C7251"/>
    <w:rsid w:val="003C768C"/>
    <w:rsid w:val="003C7A51"/>
    <w:rsid w:val="003D0562"/>
    <w:rsid w:val="003D0A31"/>
    <w:rsid w:val="003D1319"/>
    <w:rsid w:val="003D1739"/>
    <w:rsid w:val="003D1EBE"/>
    <w:rsid w:val="003D2B45"/>
    <w:rsid w:val="003D3626"/>
    <w:rsid w:val="003D4608"/>
    <w:rsid w:val="003D47A7"/>
    <w:rsid w:val="003D4E4E"/>
    <w:rsid w:val="003D652E"/>
    <w:rsid w:val="003D6D18"/>
    <w:rsid w:val="003D70A6"/>
    <w:rsid w:val="003D7B99"/>
    <w:rsid w:val="003E2181"/>
    <w:rsid w:val="003E3954"/>
    <w:rsid w:val="003E3A4D"/>
    <w:rsid w:val="003E48F7"/>
    <w:rsid w:val="003E49D4"/>
    <w:rsid w:val="003E51B3"/>
    <w:rsid w:val="003E55F2"/>
    <w:rsid w:val="003E5B91"/>
    <w:rsid w:val="003E6852"/>
    <w:rsid w:val="003F05FA"/>
    <w:rsid w:val="003F0658"/>
    <w:rsid w:val="003F0B87"/>
    <w:rsid w:val="003F2425"/>
    <w:rsid w:val="003F25C1"/>
    <w:rsid w:val="003F3098"/>
    <w:rsid w:val="003F3A82"/>
    <w:rsid w:val="003F4C7A"/>
    <w:rsid w:val="003F57ED"/>
    <w:rsid w:val="003F6F61"/>
    <w:rsid w:val="003F7130"/>
    <w:rsid w:val="003F77BC"/>
    <w:rsid w:val="004016D4"/>
    <w:rsid w:val="00402655"/>
    <w:rsid w:val="00404B8E"/>
    <w:rsid w:val="004071AD"/>
    <w:rsid w:val="0041041A"/>
    <w:rsid w:val="0041074D"/>
    <w:rsid w:val="00411613"/>
    <w:rsid w:val="004142B4"/>
    <w:rsid w:val="004144BC"/>
    <w:rsid w:val="004154AB"/>
    <w:rsid w:val="00420C4E"/>
    <w:rsid w:val="00421B7E"/>
    <w:rsid w:val="00423487"/>
    <w:rsid w:val="00424483"/>
    <w:rsid w:val="0042485A"/>
    <w:rsid w:val="00425242"/>
    <w:rsid w:val="004260A6"/>
    <w:rsid w:val="00426296"/>
    <w:rsid w:val="00430F4A"/>
    <w:rsid w:val="0043121A"/>
    <w:rsid w:val="004315C4"/>
    <w:rsid w:val="00431D67"/>
    <w:rsid w:val="00432325"/>
    <w:rsid w:val="00432987"/>
    <w:rsid w:val="00432D12"/>
    <w:rsid w:val="00432FA2"/>
    <w:rsid w:val="0043500C"/>
    <w:rsid w:val="0043514A"/>
    <w:rsid w:val="00435AEA"/>
    <w:rsid w:val="00435E6E"/>
    <w:rsid w:val="004363F8"/>
    <w:rsid w:val="004369F6"/>
    <w:rsid w:val="00437766"/>
    <w:rsid w:val="00437B94"/>
    <w:rsid w:val="00440CE7"/>
    <w:rsid w:val="004426F5"/>
    <w:rsid w:val="00442B38"/>
    <w:rsid w:val="004436AC"/>
    <w:rsid w:val="004449A6"/>
    <w:rsid w:val="00444AE5"/>
    <w:rsid w:val="004453AD"/>
    <w:rsid w:val="00445633"/>
    <w:rsid w:val="004464C2"/>
    <w:rsid w:val="0044783C"/>
    <w:rsid w:val="004501B9"/>
    <w:rsid w:val="00451245"/>
    <w:rsid w:val="0045198F"/>
    <w:rsid w:val="00451E27"/>
    <w:rsid w:val="004522DA"/>
    <w:rsid w:val="00452F86"/>
    <w:rsid w:val="0045303A"/>
    <w:rsid w:val="0045321A"/>
    <w:rsid w:val="00453D4C"/>
    <w:rsid w:val="00454397"/>
    <w:rsid w:val="004554C3"/>
    <w:rsid w:val="00455815"/>
    <w:rsid w:val="00455B09"/>
    <w:rsid w:val="00457107"/>
    <w:rsid w:val="00457153"/>
    <w:rsid w:val="0046138B"/>
    <w:rsid w:val="004613BE"/>
    <w:rsid w:val="004618BE"/>
    <w:rsid w:val="00461B7B"/>
    <w:rsid w:val="00463197"/>
    <w:rsid w:val="00463D63"/>
    <w:rsid w:val="00464440"/>
    <w:rsid w:val="0046504C"/>
    <w:rsid w:val="0046597E"/>
    <w:rsid w:val="00465F09"/>
    <w:rsid w:val="004701A9"/>
    <w:rsid w:val="0047059C"/>
    <w:rsid w:val="004713E4"/>
    <w:rsid w:val="00471475"/>
    <w:rsid w:val="004715B8"/>
    <w:rsid w:val="00472917"/>
    <w:rsid w:val="00472F94"/>
    <w:rsid w:val="004734C3"/>
    <w:rsid w:val="00473E40"/>
    <w:rsid w:val="0047726B"/>
    <w:rsid w:val="00477356"/>
    <w:rsid w:val="00477767"/>
    <w:rsid w:val="00481250"/>
    <w:rsid w:val="00484311"/>
    <w:rsid w:val="004848D5"/>
    <w:rsid w:val="00486D99"/>
    <w:rsid w:val="00487355"/>
    <w:rsid w:val="00487CB7"/>
    <w:rsid w:val="00491420"/>
    <w:rsid w:val="004917FB"/>
    <w:rsid w:val="004932BF"/>
    <w:rsid w:val="0049415E"/>
    <w:rsid w:val="00494774"/>
    <w:rsid w:val="00495469"/>
    <w:rsid w:val="00495C96"/>
    <w:rsid w:val="004A0A46"/>
    <w:rsid w:val="004A2072"/>
    <w:rsid w:val="004A268D"/>
    <w:rsid w:val="004A3509"/>
    <w:rsid w:val="004A3A06"/>
    <w:rsid w:val="004A48C0"/>
    <w:rsid w:val="004A5640"/>
    <w:rsid w:val="004A7B64"/>
    <w:rsid w:val="004A7D2E"/>
    <w:rsid w:val="004B0EBA"/>
    <w:rsid w:val="004B1E7C"/>
    <w:rsid w:val="004B28EA"/>
    <w:rsid w:val="004B2F16"/>
    <w:rsid w:val="004B3E0C"/>
    <w:rsid w:val="004B4027"/>
    <w:rsid w:val="004B4F65"/>
    <w:rsid w:val="004B5588"/>
    <w:rsid w:val="004B5BB4"/>
    <w:rsid w:val="004B6B8A"/>
    <w:rsid w:val="004B6BB9"/>
    <w:rsid w:val="004B6EA2"/>
    <w:rsid w:val="004B7097"/>
    <w:rsid w:val="004C0271"/>
    <w:rsid w:val="004C0B84"/>
    <w:rsid w:val="004C35FD"/>
    <w:rsid w:val="004C377B"/>
    <w:rsid w:val="004C427B"/>
    <w:rsid w:val="004C44E6"/>
    <w:rsid w:val="004C7422"/>
    <w:rsid w:val="004D0895"/>
    <w:rsid w:val="004D16E4"/>
    <w:rsid w:val="004D276E"/>
    <w:rsid w:val="004D4178"/>
    <w:rsid w:val="004D4E35"/>
    <w:rsid w:val="004D5160"/>
    <w:rsid w:val="004D54FC"/>
    <w:rsid w:val="004D5E86"/>
    <w:rsid w:val="004D6098"/>
    <w:rsid w:val="004D7EDB"/>
    <w:rsid w:val="004E022B"/>
    <w:rsid w:val="004E026D"/>
    <w:rsid w:val="004E155B"/>
    <w:rsid w:val="004E180D"/>
    <w:rsid w:val="004E1F3A"/>
    <w:rsid w:val="004E21A0"/>
    <w:rsid w:val="004E22F5"/>
    <w:rsid w:val="004E2B49"/>
    <w:rsid w:val="004E3827"/>
    <w:rsid w:val="004E4260"/>
    <w:rsid w:val="004E47D3"/>
    <w:rsid w:val="004E4E76"/>
    <w:rsid w:val="004E503D"/>
    <w:rsid w:val="004E51CC"/>
    <w:rsid w:val="004E6303"/>
    <w:rsid w:val="004E72CB"/>
    <w:rsid w:val="004E76AF"/>
    <w:rsid w:val="004E79B4"/>
    <w:rsid w:val="004E7CEA"/>
    <w:rsid w:val="004F00E0"/>
    <w:rsid w:val="004F075D"/>
    <w:rsid w:val="004F0F66"/>
    <w:rsid w:val="004F2706"/>
    <w:rsid w:val="004F28ED"/>
    <w:rsid w:val="004F2A0D"/>
    <w:rsid w:val="004F3EDA"/>
    <w:rsid w:val="004F4598"/>
    <w:rsid w:val="004F4E05"/>
    <w:rsid w:val="004F4E41"/>
    <w:rsid w:val="004F5534"/>
    <w:rsid w:val="004F66AD"/>
    <w:rsid w:val="00500479"/>
    <w:rsid w:val="00500675"/>
    <w:rsid w:val="00501CBD"/>
    <w:rsid w:val="00503E58"/>
    <w:rsid w:val="005046CF"/>
    <w:rsid w:val="0050528B"/>
    <w:rsid w:val="005061D7"/>
    <w:rsid w:val="00506A26"/>
    <w:rsid w:val="00507A81"/>
    <w:rsid w:val="005106F3"/>
    <w:rsid w:val="00511AB0"/>
    <w:rsid w:val="00511EAB"/>
    <w:rsid w:val="005138ED"/>
    <w:rsid w:val="00513C43"/>
    <w:rsid w:val="0051575A"/>
    <w:rsid w:val="00516224"/>
    <w:rsid w:val="00516495"/>
    <w:rsid w:val="00521083"/>
    <w:rsid w:val="0052118F"/>
    <w:rsid w:val="005215AB"/>
    <w:rsid w:val="00521699"/>
    <w:rsid w:val="00521FA0"/>
    <w:rsid w:val="005223C2"/>
    <w:rsid w:val="0052269B"/>
    <w:rsid w:val="00522EBB"/>
    <w:rsid w:val="0052386C"/>
    <w:rsid w:val="00525004"/>
    <w:rsid w:val="00525831"/>
    <w:rsid w:val="00526288"/>
    <w:rsid w:val="0052716D"/>
    <w:rsid w:val="005279BA"/>
    <w:rsid w:val="0053030D"/>
    <w:rsid w:val="005343A8"/>
    <w:rsid w:val="00534621"/>
    <w:rsid w:val="005346A3"/>
    <w:rsid w:val="00535BDA"/>
    <w:rsid w:val="0053649B"/>
    <w:rsid w:val="005371D6"/>
    <w:rsid w:val="00540303"/>
    <w:rsid w:val="005408BD"/>
    <w:rsid w:val="00541C34"/>
    <w:rsid w:val="005447D0"/>
    <w:rsid w:val="005455A2"/>
    <w:rsid w:val="00545962"/>
    <w:rsid w:val="00545B7A"/>
    <w:rsid w:val="00545C08"/>
    <w:rsid w:val="005464FC"/>
    <w:rsid w:val="005505F4"/>
    <w:rsid w:val="00551440"/>
    <w:rsid w:val="005521F5"/>
    <w:rsid w:val="005523F8"/>
    <w:rsid w:val="0055331C"/>
    <w:rsid w:val="00555118"/>
    <w:rsid w:val="005560EA"/>
    <w:rsid w:val="00556FA3"/>
    <w:rsid w:val="005606AB"/>
    <w:rsid w:val="00560CC5"/>
    <w:rsid w:val="0056140B"/>
    <w:rsid w:val="00561A6B"/>
    <w:rsid w:val="0056333F"/>
    <w:rsid w:val="00563F84"/>
    <w:rsid w:val="005651D6"/>
    <w:rsid w:val="005661AB"/>
    <w:rsid w:val="00566293"/>
    <w:rsid w:val="005662E1"/>
    <w:rsid w:val="0056685E"/>
    <w:rsid w:val="0056758F"/>
    <w:rsid w:val="005704DE"/>
    <w:rsid w:val="00571221"/>
    <w:rsid w:val="00571FE9"/>
    <w:rsid w:val="005722AF"/>
    <w:rsid w:val="005731FC"/>
    <w:rsid w:val="00573FB1"/>
    <w:rsid w:val="00574CE8"/>
    <w:rsid w:val="00575013"/>
    <w:rsid w:val="00575FC5"/>
    <w:rsid w:val="00576696"/>
    <w:rsid w:val="0057676A"/>
    <w:rsid w:val="0057692D"/>
    <w:rsid w:val="00576F79"/>
    <w:rsid w:val="005801EE"/>
    <w:rsid w:val="0058020F"/>
    <w:rsid w:val="005827B8"/>
    <w:rsid w:val="00583217"/>
    <w:rsid w:val="00584965"/>
    <w:rsid w:val="005857DF"/>
    <w:rsid w:val="005859CD"/>
    <w:rsid w:val="005864A2"/>
    <w:rsid w:val="00586716"/>
    <w:rsid w:val="00586ADD"/>
    <w:rsid w:val="0058713E"/>
    <w:rsid w:val="00587B74"/>
    <w:rsid w:val="00590EC3"/>
    <w:rsid w:val="005917DA"/>
    <w:rsid w:val="00591989"/>
    <w:rsid w:val="00591E88"/>
    <w:rsid w:val="005931DB"/>
    <w:rsid w:val="005950E2"/>
    <w:rsid w:val="005957A8"/>
    <w:rsid w:val="00596B6A"/>
    <w:rsid w:val="00597EF5"/>
    <w:rsid w:val="005A0687"/>
    <w:rsid w:val="005A2498"/>
    <w:rsid w:val="005A2DB4"/>
    <w:rsid w:val="005A3BFF"/>
    <w:rsid w:val="005A4A5F"/>
    <w:rsid w:val="005A4AE0"/>
    <w:rsid w:val="005A6451"/>
    <w:rsid w:val="005A7714"/>
    <w:rsid w:val="005A78AC"/>
    <w:rsid w:val="005B2B2F"/>
    <w:rsid w:val="005B2DA5"/>
    <w:rsid w:val="005B2E46"/>
    <w:rsid w:val="005B30DA"/>
    <w:rsid w:val="005B43C7"/>
    <w:rsid w:val="005B4827"/>
    <w:rsid w:val="005B7BE6"/>
    <w:rsid w:val="005C2ED7"/>
    <w:rsid w:val="005C3EDA"/>
    <w:rsid w:val="005C44F6"/>
    <w:rsid w:val="005C4F70"/>
    <w:rsid w:val="005C5F86"/>
    <w:rsid w:val="005C66F7"/>
    <w:rsid w:val="005C7D9F"/>
    <w:rsid w:val="005D0665"/>
    <w:rsid w:val="005D0B79"/>
    <w:rsid w:val="005D132E"/>
    <w:rsid w:val="005D5966"/>
    <w:rsid w:val="005D6626"/>
    <w:rsid w:val="005D75AC"/>
    <w:rsid w:val="005D77E2"/>
    <w:rsid w:val="005D7B63"/>
    <w:rsid w:val="005E0424"/>
    <w:rsid w:val="005E21EF"/>
    <w:rsid w:val="005E25BF"/>
    <w:rsid w:val="005E35E6"/>
    <w:rsid w:val="005E39C9"/>
    <w:rsid w:val="005E39DC"/>
    <w:rsid w:val="005E3B1A"/>
    <w:rsid w:val="005E3E9D"/>
    <w:rsid w:val="005E3F5A"/>
    <w:rsid w:val="005E4509"/>
    <w:rsid w:val="005E5618"/>
    <w:rsid w:val="005E5C63"/>
    <w:rsid w:val="005E6EF0"/>
    <w:rsid w:val="005E746E"/>
    <w:rsid w:val="005E763F"/>
    <w:rsid w:val="005F0D98"/>
    <w:rsid w:val="005F11ED"/>
    <w:rsid w:val="005F17AB"/>
    <w:rsid w:val="005F41A2"/>
    <w:rsid w:val="005F445E"/>
    <w:rsid w:val="005F46B9"/>
    <w:rsid w:val="005F5487"/>
    <w:rsid w:val="005F5984"/>
    <w:rsid w:val="005F7D08"/>
    <w:rsid w:val="00601694"/>
    <w:rsid w:val="00601865"/>
    <w:rsid w:val="00601DD8"/>
    <w:rsid w:val="006021A4"/>
    <w:rsid w:val="00602A96"/>
    <w:rsid w:val="0060345C"/>
    <w:rsid w:val="00603A45"/>
    <w:rsid w:val="00606833"/>
    <w:rsid w:val="006071C2"/>
    <w:rsid w:val="006126D6"/>
    <w:rsid w:val="00612712"/>
    <w:rsid w:val="00612900"/>
    <w:rsid w:val="00615FEA"/>
    <w:rsid w:val="0061671D"/>
    <w:rsid w:val="00620717"/>
    <w:rsid w:val="006211A0"/>
    <w:rsid w:val="0062665D"/>
    <w:rsid w:val="00626B6E"/>
    <w:rsid w:val="00631AB9"/>
    <w:rsid w:val="00633615"/>
    <w:rsid w:val="0063436F"/>
    <w:rsid w:val="00634C6E"/>
    <w:rsid w:val="00635B19"/>
    <w:rsid w:val="00635DC2"/>
    <w:rsid w:val="00640C52"/>
    <w:rsid w:val="00640FC6"/>
    <w:rsid w:val="0064123B"/>
    <w:rsid w:val="00641E2D"/>
    <w:rsid w:val="0064206F"/>
    <w:rsid w:val="006428D0"/>
    <w:rsid w:val="006446FC"/>
    <w:rsid w:val="00645388"/>
    <w:rsid w:val="0064552C"/>
    <w:rsid w:val="0064590D"/>
    <w:rsid w:val="0064592B"/>
    <w:rsid w:val="00646D6A"/>
    <w:rsid w:val="00647203"/>
    <w:rsid w:val="00647A23"/>
    <w:rsid w:val="00650D00"/>
    <w:rsid w:val="006534A6"/>
    <w:rsid w:val="006536D8"/>
    <w:rsid w:val="00654398"/>
    <w:rsid w:val="0065615F"/>
    <w:rsid w:val="00656970"/>
    <w:rsid w:val="00660587"/>
    <w:rsid w:val="006615C8"/>
    <w:rsid w:val="00661658"/>
    <w:rsid w:val="006626EC"/>
    <w:rsid w:val="00664761"/>
    <w:rsid w:val="006647A8"/>
    <w:rsid w:val="00664AF2"/>
    <w:rsid w:val="00665FAC"/>
    <w:rsid w:val="00666622"/>
    <w:rsid w:val="00666B7D"/>
    <w:rsid w:val="0066703D"/>
    <w:rsid w:val="00667218"/>
    <w:rsid w:val="0066739F"/>
    <w:rsid w:val="006703D0"/>
    <w:rsid w:val="006725FB"/>
    <w:rsid w:val="00672AC9"/>
    <w:rsid w:val="00673B74"/>
    <w:rsid w:val="0067663D"/>
    <w:rsid w:val="00676DED"/>
    <w:rsid w:val="006774F5"/>
    <w:rsid w:val="0068021D"/>
    <w:rsid w:val="00680587"/>
    <w:rsid w:val="00680D98"/>
    <w:rsid w:val="006814C9"/>
    <w:rsid w:val="00681937"/>
    <w:rsid w:val="006842C4"/>
    <w:rsid w:val="006844FD"/>
    <w:rsid w:val="006847E8"/>
    <w:rsid w:val="006857FE"/>
    <w:rsid w:val="00690C7E"/>
    <w:rsid w:val="00691383"/>
    <w:rsid w:val="00691C19"/>
    <w:rsid w:val="00692D50"/>
    <w:rsid w:val="00694192"/>
    <w:rsid w:val="0069438F"/>
    <w:rsid w:val="006952A2"/>
    <w:rsid w:val="00695C5D"/>
    <w:rsid w:val="006977DD"/>
    <w:rsid w:val="006A05E3"/>
    <w:rsid w:val="006A076B"/>
    <w:rsid w:val="006A2636"/>
    <w:rsid w:val="006A2662"/>
    <w:rsid w:val="006A328D"/>
    <w:rsid w:val="006A64D6"/>
    <w:rsid w:val="006A7396"/>
    <w:rsid w:val="006B1115"/>
    <w:rsid w:val="006B15B6"/>
    <w:rsid w:val="006B1624"/>
    <w:rsid w:val="006B1CC1"/>
    <w:rsid w:val="006B23BA"/>
    <w:rsid w:val="006B2566"/>
    <w:rsid w:val="006B2D10"/>
    <w:rsid w:val="006B3189"/>
    <w:rsid w:val="006B3803"/>
    <w:rsid w:val="006B4F27"/>
    <w:rsid w:val="006B502E"/>
    <w:rsid w:val="006B515F"/>
    <w:rsid w:val="006B5313"/>
    <w:rsid w:val="006B59BC"/>
    <w:rsid w:val="006B67B3"/>
    <w:rsid w:val="006C0619"/>
    <w:rsid w:val="006C08EE"/>
    <w:rsid w:val="006C2EB3"/>
    <w:rsid w:val="006C3698"/>
    <w:rsid w:val="006C36EA"/>
    <w:rsid w:val="006C3742"/>
    <w:rsid w:val="006C4A61"/>
    <w:rsid w:val="006C4F42"/>
    <w:rsid w:val="006C510E"/>
    <w:rsid w:val="006C65DF"/>
    <w:rsid w:val="006C6DDA"/>
    <w:rsid w:val="006C7C38"/>
    <w:rsid w:val="006D2C73"/>
    <w:rsid w:val="006D2CBF"/>
    <w:rsid w:val="006D4714"/>
    <w:rsid w:val="006D55EC"/>
    <w:rsid w:val="006D58B9"/>
    <w:rsid w:val="006D5C5E"/>
    <w:rsid w:val="006E0F36"/>
    <w:rsid w:val="006E0F66"/>
    <w:rsid w:val="006E10DF"/>
    <w:rsid w:val="006E3197"/>
    <w:rsid w:val="006E31A7"/>
    <w:rsid w:val="006E370D"/>
    <w:rsid w:val="006E44BD"/>
    <w:rsid w:val="006E45A8"/>
    <w:rsid w:val="006E480E"/>
    <w:rsid w:val="006E6089"/>
    <w:rsid w:val="006E7AE0"/>
    <w:rsid w:val="006F06F8"/>
    <w:rsid w:val="006F1631"/>
    <w:rsid w:val="006F1D2F"/>
    <w:rsid w:val="006F2142"/>
    <w:rsid w:val="006F2144"/>
    <w:rsid w:val="006F39A0"/>
    <w:rsid w:val="006F47AD"/>
    <w:rsid w:val="006F50CB"/>
    <w:rsid w:val="006F5215"/>
    <w:rsid w:val="006F527D"/>
    <w:rsid w:val="006F5B7F"/>
    <w:rsid w:val="006F71FA"/>
    <w:rsid w:val="006F79C1"/>
    <w:rsid w:val="007008FA"/>
    <w:rsid w:val="00700D7C"/>
    <w:rsid w:val="00701E43"/>
    <w:rsid w:val="00701EE7"/>
    <w:rsid w:val="007023C4"/>
    <w:rsid w:val="00702420"/>
    <w:rsid w:val="00703170"/>
    <w:rsid w:val="007032D2"/>
    <w:rsid w:val="00704184"/>
    <w:rsid w:val="0070702D"/>
    <w:rsid w:val="00707255"/>
    <w:rsid w:val="00710F87"/>
    <w:rsid w:val="0071151A"/>
    <w:rsid w:val="00714309"/>
    <w:rsid w:val="007143D5"/>
    <w:rsid w:val="00715EDA"/>
    <w:rsid w:val="00716F08"/>
    <w:rsid w:val="00717F4A"/>
    <w:rsid w:val="007200A7"/>
    <w:rsid w:val="00720659"/>
    <w:rsid w:val="0072077C"/>
    <w:rsid w:val="00720B54"/>
    <w:rsid w:val="007222CF"/>
    <w:rsid w:val="007229A8"/>
    <w:rsid w:val="00722FB5"/>
    <w:rsid w:val="007236AE"/>
    <w:rsid w:val="0072383C"/>
    <w:rsid w:val="007252DD"/>
    <w:rsid w:val="0072538E"/>
    <w:rsid w:val="007267F0"/>
    <w:rsid w:val="00726E1C"/>
    <w:rsid w:val="00726F4D"/>
    <w:rsid w:val="00730672"/>
    <w:rsid w:val="00731666"/>
    <w:rsid w:val="00732336"/>
    <w:rsid w:val="00733763"/>
    <w:rsid w:val="00734532"/>
    <w:rsid w:val="00736477"/>
    <w:rsid w:val="00736D3A"/>
    <w:rsid w:val="00737566"/>
    <w:rsid w:val="00743D72"/>
    <w:rsid w:val="0074429C"/>
    <w:rsid w:val="007444F1"/>
    <w:rsid w:val="007451E2"/>
    <w:rsid w:val="00746C2B"/>
    <w:rsid w:val="007473E3"/>
    <w:rsid w:val="007478B1"/>
    <w:rsid w:val="00750BE8"/>
    <w:rsid w:val="00750FFC"/>
    <w:rsid w:val="00752025"/>
    <w:rsid w:val="00752B30"/>
    <w:rsid w:val="00752FF7"/>
    <w:rsid w:val="0075385E"/>
    <w:rsid w:val="0075398B"/>
    <w:rsid w:val="00753AF6"/>
    <w:rsid w:val="00753CC9"/>
    <w:rsid w:val="00754A08"/>
    <w:rsid w:val="007569FB"/>
    <w:rsid w:val="007600C8"/>
    <w:rsid w:val="00760587"/>
    <w:rsid w:val="00761552"/>
    <w:rsid w:val="00762221"/>
    <w:rsid w:val="007622B3"/>
    <w:rsid w:val="00764C5A"/>
    <w:rsid w:val="00765450"/>
    <w:rsid w:val="00766A2B"/>
    <w:rsid w:val="00766B89"/>
    <w:rsid w:val="007678F7"/>
    <w:rsid w:val="00770C66"/>
    <w:rsid w:val="00770DC8"/>
    <w:rsid w:val="00770EF3"/>
    <w:rsid w:val="007726C3"/>
    <w:rsid w:val="00773141"/>
    <w:rsid w:val="00773238"/>
    <w:rsid w:val="0077331E"/>
    <w:rsid w:val="007733C4"/>
    <w:rsid w:val="00773E21"/>
    <w:rsid w:val="00774B54"/>
    <w:rsid w:val="00775445"/>
    <w:rsid w:val="0077696D"/>
    <w:rsid w:val="007769A3"/>
    <w:rsid w:val="00777C5B"/>
    <w:rsid w:val="00781BFB"/>
    <w:rsid w:val="0078241E"/>
    <w:rsid w:val="007829E8"/>
    <w:rsid w:val="00782B2D"/>
    <w:rsid w:val="00783DE5"/>
    <w:rsid w:val="00785DDC"/>
    <w:rsid w:val="00786926"/>
    <w:rsid w:val="007877D6"/>
    <w:rsid w:val="007878A9"/>
    <w:rsid w:val="00787B78"/>
    <w:rsid w:val="007908A0"/>
    <w:rsid w:val="007938D0"/>
    <w:rsid w:val="00796369"/>
    <w:rsid w:val="00797117"/>
    <w:rsid w:val="00797DA5"/>
    <w:rsid w:val="007A0CCB"/>
    <w:rsid w:val="007A2368"/>
    <w:rsid w:val="007A2561"/>
    <w:rsid w:val="007A267A"/>
    <w:rsid w:val="007A2D0E"/>
    <w:rsid w:val="007A2D91"/>
    <w:rsid w:val="007A3C9F"/>
    <w:rsid w:val="007A43C8"/>
    <w:rsid w:val="007A509D"/>
    <w:rsid w:val="007A63AC"/>
    <w:rsid w:val="007A70D8"/>
    <w:rsid w:val="007A76FC"/>
    <w:rsid w:val="007B050A"/>
    <w:rsid w:val="007B1B62"/>
    <w:rsid w:val="007B1D5A"/>
    <w:rsid w:val="007B2830"/>
    <w:rsid w:val="007B4F52"/>
    <w:rsid w:val="007B5028"/>
    <w:rsid w:val="007B5D3D"/>
    <w:rsid w:val="007B5E0E"/>
    <w:rsid w:val="007B62FA"/>
    <w:rsid w:val="007B6D39"/>
    <w:rsid w:val="007B7825"/>
    <w:rsid w:val="007C0097"/>
    <w:rsid w:val="007C0B75"/>
    <w:rsid w:val="007C0C9A"/>
    <w:rsid w:val="007C12CF"/>
    <w:rsid w:val="007C1A17"/>
    <w:rsid w:val="007C3273"/>
    <w:rsid w:val="007C34CD"/>
    <w:rsid w:val="007C3AD5"/>
    <w:rsid w:val="007C3C0E"/>
    <w:rsid w:val="007C3C28"/>
    <w:rsid w:val="007C4658"/>
    <w:rsid w:val="007C5423"/>
    <w:rsid w:val="007C6265"/>
    <w:rsid w:val="007C6769"/>
    <w:rsid w:val="007C6793"/>
    <w:rsid w:val="007D001B"/>
    <w:rsid w:val="007D05FC"/>
    <w:rsid w:val="007D1014"/>
    <w:rsid w:val="007D3376"/>
    <w:rsid w:val="007D3958"/>
    <w:rsid w:val="007D4289"/>
    <w:rsid w:val="007D47C5"/>
    <w:rsid w:val="007D6D7F"/>
    <w:rsid w:val="007D78AF"/>
    <w:rsid w:val="007D792E"/>
    <w:rsid w:val="007D79B2"/>
    <w:rsid w:val="007E007A"/>
    <w:rsid w:val="007E05E5"/>
    <w:rsid w:val="007E0A5A"/>
    <w:rsid w:val="007E0C85"/>
    <w:rsid w:val="007E0CD2"/>
    <w:rsid w:val="007E25BE"/>
    <w:rsid w:val="007E2B58"/>
    <w:rsid w:val="007E2F6E"/>
    <w:rsid w:val="007E33A3"/>
    <w:rsid w:val="007E3801"/>
    <w:rsid w:val="007E3A45"/>
    <w:rsid w:val="007E4A29"/>
    <w:rsid w:val="007E4CA6"/>
    <w:rsid w:val="007E50CD"/>
    <w:rsid w:val="007E5AEC"/>
    <w:rsid w:val="007E63A6"/>
    <w:rsid w:val="007E68FF"/>
    <w:rsid w:val="007E7154"/>
    <w:rsid w:val="007E7862"/>
    <w:rsid w:val="007E79C2"/>
    <w:rsid w:val="007E7C2C"/>
    <w:rsid w:val="007F037D"/>
    <w:rsid w:val="007F196C"/>
    <w:rsid w:val="007F1A4F"/>
    <w:rsid w:val="007F1F3A"/>
    <w:rsid w:val="007F23CC"/>
    <w:rsid w:val="007F27D0"/>
    <w:rsid w:val="007F2CC3"/>
    <w:rsid w:val="007F3DF0"/>
    <w:rsid w:val="007F4384"/>
    <w:rsid w:val="007F4A96"/>
    <w:rsid w:val="007F52DF"/>
    <w:rsid w:val="007F5AA7"/>
    <w:rsid w:val="007F6114"/>
    <w:rsid w:val="007F656C"/>
    <w:rsid w:val="00800117"/>
    <w:rsid w:val="008014E0"/>
    <w:rsid w:val="00802085"/>
    <w:rsid w:val="008030F2"/>
    <w:rsid w:val="00803DE3"/>
    <w:rsid w:val="00805F3C"/>
    <w:rsid w:val="00806C17"/>
    <w:rsid w:val="00806C46"/>
    <w:rsid w:val="0080775F"/>
    <w:rsid w:val="00810231"/>
    <w:rsid w:val="008111F9"/>
    <w:rsid w:val="00811314"/>
    <w:rsid w:val="00812534"/>
    <w:rsid w:val="00812B73"/>
    <w:rsid w:val="00813214"/>
    <w:rsid w:val="00813D4F"/>
    <w:rsid w:val="00814606"/>
    <w:rsid w:val="0081486B"/>
    <w:rsid w:val="00815892"/>
    <w:rsid w:val="00815CBD"/>
    <w:rsid w:val="00820D5B"/>
    <w:rsid w:val="0082101A"/>
    <w:rsid w:val="00821E53"/>
    <w:rsid w:val="0082218A"/>
    <w:rsid w:val="0082226F"/>
    <w:rsid w:val="008224ED"/>
    <w:rsid w:val="008232AB"/>
    <w:rsid w:val="0082465C"/>
    <w:rsid w:val="00826BFA"/>
    <w:rsid w:val="00826EA0"/>
    <w:rsid w:val="0082707E"/>
    <w:rsid w:val="008320BF"/>
    <w:rsid w:val="008356A7"/>
    <w:rsid w:val="00840C5E"/>
    <w:rsid w:val="008424BF"/>
    <w:rsid w:val="00842AFF"/>
    <w:rsid w:val="008443F5"/>
    <w:rsid w:val="008446CF"/>
    <w:rsid w:val="008446F4"/>
    <w:rsid w:val="00846274"/>
    <w:rsid w:val="0084779E"/>
    <w:rsid w:val="00847842"/>
    <w:rsid w:val="00847E37"/>
    <w:rsid w:val="008503FD"/>
    <w:rsid w:val="00850933"/>
    <w:rsid w:val="00851687"/>
    <w:rsid w:val="00852060"/>
    <w:rsid w:val="008524A6"/>
    <w:rsid w:val="00854F96"/>
    <w:rsid w:val="00856A2C"/>
    <w:rsid w:val="008573A0"/>
    <w:rsid w:val="00857771"/>
    <w:rsid w:val="00860171"/>
    <w:rsid w:val="008605D1"/>
    <w:rsid w:val="00860725"/>
    <w:rsid w:val="00861BC7"/>
    <w:rsid w:val="00861D99"/>
    <w:rsid w:val="00862D0D"/>
    <w:rsid w:val="0086371F"/>
    <w:rsid w:val="00863C4C"/>
    <w:rsid w:val="00863D2C"/>
    <w:rsid w:val="0086410C"/>
    <w:rsid w:val="008645CB"/>
    <w:rsid w:val="00865291"/>
    <w:rsid w:val="00865970"/>
    <w:rsid w:val="0086771A"/>
    <w:rsid w:val="00870978"/>
    <w:rsid w:val="00870E11"/>
    <w:rsid w:val="0087109E"/>
    <w:rsid w:val="0087164B"/>
    <w:rsid w:val="00872F67"/>
    <w:rsid w:val="008736D6"/>
    <w:rsid w:val="00873F77"/>
    <w:rsid w:val="00874AB3"/>
    <w:rsid w:val="00875895"/>
    <w:rsid w:val="00875A5B"/>
    <w:rsid w:val="00875BDB"/>
    <w:rsid w:val="00876B63"/>
    <w:rsid w:val="00876EAF"/>
    <w:rsid w:val="0087703C"/>
    <w:rsid w:val="00881448"/>
    <w:rsid w:val="0088148A"/>
    <w:rsid w:val="00882519"/>
    <w:rsid w:val="00883455"/>
    <w:rsid w:val="008868D2"/>
    <w:rsid w:val="00886C14"/>
    <w:rsid w:val="008930FC"/>
    <w:rsid w:val="008949B6"/>
    <w:rsid w:val="00894D47"/>
    <w:rsid w:val="0089623B"/>
    <w:rsid w:val="00896281"/>
    <w:rsid w:val="00897370"/>
    <w:rsid w:val="00897C07"/>
    <w:rsid w:val="008A50F7"/>
    <w:rsid w:val="008A5D9D"/>
    <w:rsid w:val="008A6F3F"/>
    <w:rsid w:val="008B09AA"/>
    <w:rsid w:val="008B148A"/>
    <w:rsid w:val="008B2E3A"/>
    <w:rsid w:val="008B34BF"/>
    <w:rsid w:val="008B5186"/>
    <w:rsid w:val="008B53A8"/>
    <w:rsid w:val="008B572A"/>
    <w:rsid w:val="008B59B1"/>
    <w:rsid w:val="008B681D"/>
    <w:rsid w:val="008C02D7"/>
    <w:rsid w:val="008C036D"/>
    <w:rsid w:val="008C0E2C"/>
    <w:rsid w:val="008C1450"/>
    <w:rsid w:val="008C2044"/>
    <w:rsid w:val="008C2EDC"/>
    <w:rsid w:val="008C3C78"/>
    <w:rsid w:val="008C6272"/>
    <w:rsid w:val="008C753C"/>
    <w:rsid w:val="008D0C48"/>
    <w:rsid w:val="008D103E"/>
    <w:rsid w:val="008D1171"/>
    <w:rsid w:val="008D1409"/>
    <w:rsid w:val="008D1DE5"/>
    <w:rsid w:val="008D348B"/>
    <w:rsid w:val="008D4836"/>
    <w:rsid w:val="008D486A"/>
    <w:rsid w:val="008D49C7"/>
    <w:rsid w:val="008D5397"/>
    <w:rsid w:val="008D552A"/>
    <w:rsid w:val="008D5F1C"/>
    <w:rsid w:val="008D66EA"/>
    <w:rsid w:val="008D6F98"/>
    <w:rsid w:val="008D7137"/>
    <w:rsid w:val="008D78A0"/>
    <w:rsid w:val="008D7BA7"/>
    <w:rsid w:val="008E1FDB"/>
    <w:rsid w:val="008E2158"/>
    <w:rsid w:val="008E22A2"/>
    <w:rsid w:val="008E2627"/>
    <w:rsid w:val="008E37FA"/>
    <w:rsid w:val="008E38A9"/>
    <w:rsid w:val="008E627A"/>
    <w:rsid w:val="008E6363"/>
    <w:rsid w:val="008E63BE"/>
    <w:rsid w:val="008E6807"/>
    <w:rsid w:val="008E7428"/>
    <w:rsid w:val="008F086B"/>
    <w:rsid w:val="008F1069"/>
    <w:rsid w:val="008F139A"/>
    <w:rsid w:val="008F1CA6"/>
    <w:rsid w:val="008F2ABF"/>
    <w:rsid w:val="008F2ED5"/>
    <w:rsid w:val="008F3018"/>
    <w:rsid w:val="008F31C6"/>
    <w:rsid w:val="008F53FB"/>
    <w:rsid w:val="008F6A20"/>
    <w:rsid w:val="008F6B1A"/>
    <w:rsid w:val="008F764D"/>
    <w:rsid w:val="008F7F40"/>
    <w:rsid w:val="008F7FCB"/>
    <w:rsid w:val="00900031"/>
    <w:rsid w:val="009002B4"/>
    <w:rsid w:val="009004E8"/>
    <w:rsid w:val="00900E32"/>
    <w:rsid w:val="00901C7D"/>
    <w:rsid w:val="00902643"/>
    <w:rsid w:val="00902A24"/>
    <w:rsid w:val="00904D59"/>
    <w:rsid w:val="00905928"/>
    <w:rsid w:val="00905FEF"/>
    <w:rsid w:val="00906997"/>
    <w:rsid w:val="00906FB9"/>
    <w:rsid w:val="009100C6"/>
    <w:rsid w:val="00910D0F"/>
    <w:rsid w:val="00910EDC"/>
    <w:rsid w:val="009112BA"/>
    <w:rsid w:val="00911545"/>
    <w:rsid w:val="009117E1"/>
    <w:rsid w:val="00911B3E"/>
    <w:rsid w:val="00912009"/>
    <w:rsid w:val="00912142"/>
    <w:rsid w:val="00913A7A"/>
    <w:rsid w:val="00914264"/>
    <w:rsid w:val="009142CC"/>
    <w:rsid w:val="009146FB"/>
    <w:rsid w:val="00914854"/>
    <w:rsid w:val="009165B6"/>
    <w:rsid w:val="00917704"/>
    <w:rsid w:val="0092248D"/>
    <w:rsid w:val="00922BC6"/>
    <w:rsid w:val="00925A66"/>
    <w:rsid w:val="00927141"/>
    <w:rsid w:val="00927A26"/>
    <w:rsid w:val="009304F1"/>
    <w:rsid w:val="00931DBD"/>
    <w:rsid w:val="00931EF9"/>
    <w:rsid w:val="009326DA"/>
    <w:rsid w:val="00932FCB"/>
    <w:rsid w:val="0093455A"/>
    <w:rsid w:val="00936470"/>
    <w:rsid w:val="009378EA"/>
    <w:rsid w:val="0094068D"/>
    <w:rsid w:val="00941C56"/>
    <w:rsid w:val="00943327"/>
    <w:rsid w:val="00944340"/>
    <w:rsid w:val="0094443B"/>
    <w:rsid w:val="00945C1F"/>
    <w:rsid w:val="00947236"/>
    <w:rsid w:val="00947C1F"/>
    <w:rsid w:val="00947CE3"/>
    <w:rsid w:val="00950B90"/>
    <w:rsid w:val="009513D4"/>
    <w:rsid w:val="00953E55"/>
    <w:rsid w:val="009551D3"/>
    <w:rsid w:val="00955924"/>
    <w:rsid w:val="009562D6"/>
    <w:rsid w:val="00956444"/>
    <w:rsid w:val="00957DB6"/>
    <w:rsid w:val="00962E7C"/>
    <w:rsid w:val="00962FFA"/>
    <w:rsid w:val="00964386"/>
    <w:rsid w:val="009667A6"/>
    <w:rsid w:val="00966EE5"/>
    <w:rsid w:val="00966F29"/>
    <w:rsid w:val="0096742D"/>
    <w:rsid w:val="0097167A"/>
    <w:rsid w:val="00971F05"/>
    <w:rsid w:val="00972E85"/>
    <w:rsid w:val="0097388C"/>
    <w:rsid w:val="009768E2"/>
    <w:rsid w:val="009775E4"/>
    <w:rsid w:val="00983566"/>
    <w:rsid w:val="00984739"/>
    <w:rsid w:val="009848AB"/>
    <w:rsid w:val="00985028"/>
    <w:rsid w:val="00985B88"/>
    <w:rsid w:val="00985F13"/>
    <w:rsid w:val="0098604D"/>
    <w:rsid w:val="009900ED"/>
    <w:rsid w:val="009914EE"/>
    <w:rsid w:val="00991FF7"/>
    <w:rsid w:val="00992826"/>
    <w:rsid w:val="0099376D"/>
    <w:rsid w:val="009941E9"/>
    <w:rsid w:val="009946A7"/>
    <w:rsid w:val="0099474D"/>
    <w:rsid w:val="00996D95"/>
    <w:rsid w:val="00997895"/>
    <w:rsid w:val="009A030D"/>
    <w:rsid w:val="009A05EE"/>
    <w:rsid w:val="009A07EC"/>
    <w:rsid w:val="009A1B61"/>
    <w:rsid w:val="009A23C6"/>
    <w:rsid w:val="009A3346"/>
    <w:rsid w:val="009A34FC"/>
    <w:rsid w:val="009A36E2"/>
    <w:rsid w:val="009A38BA"/>
    <w:rsid w:val="009A4650"/>
    <w:rsid w:val="009A4BF0"/>
    <w:rsid w:val="009A6019"/>
    <w:rsid w:val="009A6261"/>
    <w:rsid w:val="009A6C68"/>
    <w:rsid w:val="009B055E"/>
    <w:rsid w:val="009B21B3"/>
    <w:rsid w:val="009B3301"/>
    <w:rsid w:val="009B3744"/>
    <w:rsid w:val="009B49AC"/>
    <w:rsid w:val="009B5551"/>
    <w:rsid w:val="009B63D7"/>
    <w:rsid w:val="009C1EDD"/>
    <w:rsid w:val="009C2CAD"/>
    <w:rsid w:val="009C356D"/>
    <w:rsid w:val="009C381C"/>
    <w:rsid w:val="009C39C1"/>
    <w:rsid w:val="009C4ED9"/>
    <w:rsid w:val="009C5406"/>
    <w:rsid w:val="009C5AD5"/>
    <w:rsid w:val="009C5D05"/>
    <w:rsid w:val="009C63D0"/>
    <w:rsid w:val="009C640C"/>
    <w:rsid w:val="009C7158"/>
    <w:rsid w:val="009C7671"/>
    <w:rsid w:val="009D02F8"/>
    <w:rsid w:val="009D071B"/>
    <w:rsid w:val="009D0B59"/>
    <w:rsid w:val="009D0E57"/>
    <w:rsid w:val="009D1644"/>
    <w:rsid w:val="009D1AF2"/>
    <w:rsid w:val="009D1B83"/>
    <w:rsid w:val="009D3086"/>
    <w:rsid w:val="009D40D0"/>
    <w:rsid w:val="009D467A"/>
    <w:rsid w:val="009D47E7"/>
    <w:rsid w:val="009D4C0D"/>
    <w:rsid w:val="009D5808"/>
    <w:rsid w:val="009D6C8E"/>
    <w:rsid w:val="009E02F7"/>
    <w:rsid w:val="009E1301"/>
    <w:rsid w:val="009E18F9"/>
    <w:rsid w:val="009E2842"/>
    <w:rsid w:val="009E3816"/>
    <w:rsid w:val="009E3B78"/>
    <w:rsid w:val="009E42D5"/>
    <w:rsid w:val="009E4997"/>
    <w:rsid w:val="009E50D8"/>
    <w:rsid w:val="009E5479"/>
    <w:rsid w:val="009E56A5"/>
    <w:rsid w:val="009F019D"/>
    <w:rsid w:val="009F0556"/>
    <w:rsid w:val="009F056E"/>
    <w:rsid w:val="009F0BA3"/>
    <w:rsid w:val="009F0C11"/>
    <w:rsid w:val="009F18E1"/>
    <w:rsid w:val="009F3825"/>
    <w:rsid w:val="009F406C"/>
    <w:rsid w:val="009F4681"/>
    <w:rsid w:val="009F4891"/>
    <w:rsid w:val="009F4BE8"/>
    <w:rsid w:val="009F5081"/>
    <w:rsid w:val="009F7AE2"/>
    <w:rsid w:val="009F8A16"/>
    <w:rsid w:val="00A0012F"/>
    <w:rsid w:val="00A01AEF"/>
    <w:rsid w:val="00A01DDD"/>
    <w:rsid w:val="00A02DE8"/>
    <w:rsid w:val="00A03B91"/>
    <w:rsid w:val="00A04EB0"/>
    <w:rsid w:val="00A05A23"/>
    <w:rsid w:val="00A075E2"/>
    <w:rsid w:val="00A13CBA"/>
    <w:rsid w:val="00A151B6"/>
    <w:rsid w:val="00A15C93"/>
    <w:rsid w:val="00A16708"/>
    <w:rsid w:val="00A2207A"/>
    <w:rsid w:val="00A2241D"/>
    <w:rsid w:val="00A224CB"/>
    <w:rsid w:val="00A23478"/>
    <w:rsid w:val="00A23B5D"/>
    <w:rsid w:val="00A24869"/>
    <w:rsid w:val="00A2701A"/>
    <w:rsid w:val="00A27096"/>
    <w:rsid w:val="00A30D55"/>
    <w:rsid w:val="00A3213F"/>
    <w:rsid w:val="00A33171"/>
    <w:rsid w:val="00A342D0"/>
    <w:rsid w:val="00A349F2"/>
    <w:rsid w:val="00A34BB0"/>
    <w:rsid w:val="00A34DB7"/>
    <w:rsid w:val="00A36071"/>
    <w:rsid w:val="00A368D4"/>
    <w:rsid w:val="00A378C4"/>
    <w:rsid w:val="00A40DE0"/>
    <w:rsid w:val="00A41F5A"/>
    <w:rsid w:val="00A42184"/>
    <w:rsid w:val="00A431A6"/>
    <w:rsid w:val="00A433F8"/>
    <w:rsid w:val="00A44672"/>
    <w:rsid w:val="00A44EC7"/>
    <w:rsid w:val="00A45B78"/>
    <w:rsid w:val="00A45C2F"/>
    <w:rsid w:val="00A466D9"/>
    <w:rsid w:val="00A46FDA"/>
    <w:rsid w:val="00A521BD"/>
    <w:rsid w:val="00A529AD"/>
    <w:rsid w:val="00A52A9F"/>
    <w:rsid w:val="00A54034"/>
    <w:rsid w:val="00A54FB3"/>
    <w:rsid w:val="00A551B7"/>
    <w:rsid w:val="00A56DAE"/>
    <w:rsid w:val="00A61DC1"/>
    <w:rsid w:val="00A620A5"/>
    <w:rsid w:val="00A6266E"/>
    <w:rsid w:val="00A63249"/>
    <w:rsid w:val="00A64F0F"/>
    <w:rsid w:val="00A65407"/>
    <w:rsid w:val="00A6574F"/>
    <w:rsid w:val="00A65B18"/>
    <w:rsid w:val="00A660A6"/>
    <w:rsid w:val="00A6671C"/>
    <w:rsid w:val="00A67E7A"/>
    <w:rsid w:val="00A717F2"/>
    <w:rsid w:val="00A73209"/>
    <w:rsid w:val="00A7443B"/>
    <w:rsid w:val="00A7664F"/>
    <w:rsid w:val="00A76CC8"/>
    <w:rsid w:val="00A77911"/>
    <w:rsid w:val="00A80E94"/>
    <w:rsid w:val="00A820BB"/>
    <w:rsid w:val="00A82C84"/>
    <w:rsid w:val="00A83A5B"/>
    <w:rsid w:val="00A84123"/>
    <w:rsid w:val="00A84487"/>
    <w:rsid w:val="00A86DF5"/>
    <w:rsid w:val="00A871F3"/>
    <w:rsid w:val="00A91133"/>
    <w:rsid w:val="00A92879"/>
    <w:rsid w:val="00A92CA3"/>
    <w:rsid w:val="00A9394E"/>
    <w:rsid w:val="00A961FD"/>
    <w:rsid w:val="00A97AD7"/>
    <w:rsid w:val="00A97E15"/>
    <w:rsid w:val="00AA02A1"/>
    <w:rsid w:val="00AA0520"/>
    <w:rsid w:val="00AA0710"/>
    <w:rsid w:val="00AA11DE"/>
    <w:rsid w:val="00AA198C"/>
    <w:rsid w:val="00AA219E"/>
    <w:rsid w:val="00AA290F"/>
    <w:rsid w:val="00AA2C25"/>
    <w:rsid w:val="00AA2D50"/>
    <w:rsid w:val="00AA3B9A"/>
    <w:rsid w:val="00AA5363"/>
    <w:rsid w:val="00AA6055"/>
    <w:rsid w:val="00AA789F"/>
    <w:rsid w:val="00AB2541"/>
    <w:rsid w:val="00AB2C17"/>
    <w:rsid w:val="00AB3277"/>
    <w:rsid w:val="00AB4650"/>
    <w:rsid w:val="00AB5BEA"/>
    <w:rsid w:val="00AB5D7F"/>
    <w:rsid w:val="00AB67DC"/>
    <w:rsid w:val="00AB7129"/>
    <w:rsid w:val="00AB7CE6"/>
    <w:rsid w:val="00AB7FF2"/>
    <w:rsid w:val="00AC0E3B"/>
    <w:rsid w:val="00AC0EB5"/>
    <w:rsid w:val="00AC1317"/>
    <w:rsid w:val="00AC3D07"/>
    <w:rsid w:val="00AC430E"/>
    <w:rsid w:val="00AC437E"/>
    <w:rsid w:val="00AC43E9"/>
    <w:rsid w:val="00AC5508"/>
    <w:rsid w:val="00AC5549"/>
    <w:rsid w:val="00AC6DBC"/>
    <w:rsid w:val="00AD1804"/>
    <w:rsid w:val="00AD18BC"/>
    <w:rsid w:val="00AD1B94"/>
    <w:rsid w:val="00AD2C89"/>
    <w:rsid w:val="00AD49BA"/>
    <w:rsid w:val="00AD4BAB"/>
    <w:rsid w:val="00AD529E"/>
    <w:rsid w:val="00AD58F8"/>
    <w:rsid w:val="00AD5E47"/>
    <w:rsid w:val="00AD658B"/>
    <w:rsid w:val="00AD691F"/>
    <w:rsid w:val="00AD6966"/>
    <w:rsid w:val="00AD7034"/>
    <w:rsid w:val="00AD7530"/>
    <w:rsid w:val="00AD754F"/>
    <w:rsid w:val="00AD78F2"/>
    <w:rsid w:val="00AE02F5"/>
    <w:rsid w:val="00AE1859"/>
    <w:rsid w:val="00AE2052"/>
    <w:rsid w:val="00AE24D7"/>
    <w:rsid w:val="00AE3A7E"/>
    <w:rsid w:val="00AE3E9A"/>
    <w:rsid w:val="00AE4CA7"/>
    <w:rsid w:val="00AE4DEA"/>
    <w:rsid w:val="00AE5A78"/>
    <w:rsid w:val="00AE6485"/>
    <w:rsid w:val="00AF10D0"/>
    <w:rsid w:val="00AF14B4"/>
    <w:rsid w:val="00AF356B"/>
    <w:rsid w:val="00AF4FB3"/>
    <w:rsid w:val="00AF5B68"/>
    <w:rsid w:val="00AF6E8B"/>
    <w:rsid w:val="00AF732A"/>
    <w:rsid w:val="00B00A3C"/>
    <w:rsid w:val="00B02C3C"/>
    <w:rsid w:val="00B02C9D"/>
    <w:rsid w:val="00B04FE3"/>
    <w:rsid w:val="00B05E48"/>
    <w:rsid w:val="00B06CC6"/>
    <w:rsid w:val="00B07990"/>
    <w:rsid w:val="00B07D0C"/>
    <w:rsid w:val="00B13148"/>
    <w:rsid w:val="00B13319"/>
    <w:rsid w:val="00B13558"/>
    <w:rsid w:val="00B13D12"/>
    <w:rsid w:val="00B14CB8"/>
    <w:rsid w:val="00B14E92"/>
    <w:rsid w:val="00B160FE"/>
    <w:rsid w:val="00B165E7"/>
    <w:rsid w:val="00B170E8"/>
    <w:rsid w:val="00B1755C"/>
    <w:rsid w:val="00B175A4"/>
    <w:rsid w:val="00B201D0"/>
    <w:rsid w:val="00B208FC"/>
    <w:rsid w:val="00B2258F"/>
    <w:rsid w:val="00B22D30"/>
    <w:rsid w:val="00B23D45"/>
    <w:rsid w:val="00B242BE"/>
    <w:rsid w:val="00B24857"/>
    <w:rsid w:val="00B24F82"/>
    <w:rsid w:val="00B258EA"/>
    <w:rsid w:val="00B25FF0"/>
    <w:rsid w:val="00B2608F"/>
    <w:rsid w:val="00B26C39"/>
    <w:rsid w:val="00B26E01"/>
    <w:rsid w:val="00B26ECA"/>
    <w:rsid w:val="00B314B1"/>
    <w:rsid w:val="00B337CB"/>
    <w:rsid w:val="00B342FA"/>
    <w:rsid w:val="00B3467E"/>
    <w:rsid w:val="00B347D4"/>
    <w:rsid w:val="00B350E1"/>
    <w:rsid w:val="00B352CA"/>
    <w:rsid w:val="00B355E2"/>
    <w:rsid w:val="00B3728F"/>
    <w:rsid w:val="00B40E1A"/>
    <w:rsid w:val="00B40F98"/>
    <w:rsid w:val="00B413B8"/>
    <w:rsid w:val="00B42508"/>
    <w:rsid w:val="00B42D00"/>
    <w:rsid w:val="00B443AB"/>
    <w:rsid w:val="00B45654"/>
    <w:rsid w:val="00B459A5"/>
    <w:rsid w:val="00B4632D"/>
    <w:rsid w:val="00B53014"/>
    <w:rsid w:val="00B53DA1"/>
    <w:rsid w:val="00B540AC"/>
    <w:rsid w:val="00B549B0"/>
    <w:rsid w:val="00B54FB5"/>
    <w:rsid w:val="00B55EB1"/>
    <w:rsid w:val="00B5699F"/>
    <w:rsid w:val="00B56F60"/>
    <w:rsid w:val="00B570FD"/>
    <w:rsid w:val="00B5722F"/>
    <w:rsid w:val="00B578BE"/>
    <w:rsid w:val="00B5792C"/>
    <w:rsid w:val="00B621EC"/>
    <w:rsid w:val="00B62A5F"/>
    <w:rsid w:val="00B635D4"/>
    <w:rsid w:val="00B654AC"/>
    <w:rsid w:val="00B65F09"/>
    <w:rsid w:val="00B66011"/>
    <w:rsid w:val="00B70090"/>
    <w:rsid w:val="00B70530"/>
    <w:rsid w:val="00B718A2"/>
    <w:rsid w:val="00B72314"/>
    <w:rsid w:val="00B73DD4"/>
    <w:rsid w:val="00B74C8C"/>
    <w:rsid w:val="00B76A27"/>
    <w:rsid w:val="00B76F0E"/>
    <w:rsid w:val="00B76F31"/>
    <w:rsid w:val="00B7759C"/>
    <w:rsid w:val="00B77E53"/>
    <w:rsid w:val="00B80BAA"/>
    <w:rsid w:val="00B81E18"/>
    <w:rsid w:val="00B82997"/>
    <w:rsid w:val="00B82E30"/>
    <w:rsid w:val="00B84044"/>
    <w:rsid w:val="00B8531E"/>
    <w:rsid w:val="00B85423"/>
    <w:rsid w:val="00B857D3"/>
    <w:rsid w:val="00B85BC9"/>
    <w:rsid w:val="00B85FAB"/>
    <w:rsid w:val="00B87F53"/>
    <w:rsid w:val="00B908BA"/>
    <w:rsid w:val="00B90914"/>
    <w:rsid w:val="00B92936"/>
    <w:rsid w:val="00B93420"/>
    <w:rsid w:val="00B947F4"/>
    <w:rsid w:val="00B94C98"/>
    <w:rsid w:val="00B965CF"/>
    <w:rsid w:val="00B97CAE"/>
    <w:rsid w:val="00BA0616"/>
    <w:rsid w:val="00BA13EA"/>
    <w:rsid w:val="00BA1DB5"/>
    <w:rsid w:val="00BA2140"/>
    <w:rsid w:val="00BA29E4"/>
    <w:rsid w:val="00BA2C63"/>
    <w:rsid w:val="00BA5133"/>
    <w:rsid w:val="00BA51AB"/>
    <w:rsid w:val="00BA54AD"/>
    <w:rsid w:val="00BA5B69"/>
    <w:rsid w:val="00BA5EF7"/>
    <w:rsid w:val="00BA6484"/>
    <w:rsid w:val="00BA79D4"/>
    <w:rsid w:val="00BA7CDA"/>
    <w:rsid w:val="00BB0091"/>
    <w:rsid w:val="00BB0FC8"/>
    <w:rsid w:val="00BB1A44"/>
    <w:rsid w:val="00BB1FC2"/>
    <w:rsid w:val="00BB2235"/>
    <w:rsid w:val="00BB3960"/>
    <w:rsid w:val="00BB40E2"/>
    <w:rsid w:val="00BB4299"/>
    <w:rsid w:val="00BB4C36"/>
    <w:rsid w:val="00BB4D26"/>
    <w:rsid w:val="00BB519C"/>
    <w:rsid w:val="00BB56B8"/>
    <w:rsid w:val="00BB78CA"/>
    <w:rsid w:val="00BC015E"/>
    <w:rsid w:val="00BC0B12"/>
    <w:rsid w:val="00BC0F88"/>
    <w:rsid w:val="00BC2B4A"/>
    <w:rsid w:val="00BC3596"/>
    <w:rsid w:val="00BC373C"/>
    <w:rsid w:val="00BC3768"/>
    <w:rsid w:val="00BC397B"/>
    <w:rsid w:val="00BC6D65"/>
    <w:rsid w:val="00BD3DE4"/>
    <w:rsid w:val="00BD42D5"/>
    <w:rsid w:val="00BD453D"/>
    <w:rsid w:val="00BD4E21"/>
    <w:rsid w:val="00BD4E3D"/>
    <w:rsid w:val="00BD4F3E"/>
    <w:rsid w:val="00BD6BA6"/>
    <w:rsid w:val="00BD6FE9"/>
    <w:rsid w:val="00BD7473"/>
    <w:rsid w:val="00BD7941"/>
    <w:rsid w:val="00BD7C38"/>
    <w:rsid w:val="00BD7C58"/>
    <w:rsid w:val="00BD7C99"/>
    <w:rsid w:val="00BE0204"/>
    <w:rsid w:val="00BE064D"/>
    <w:rsid w:val="00BE124B"/>
    <w:rsid w:val="00BE15D9"/>
    <w:rsid w:val="00BE28EE"/>
    <w:rsid w:val="00BE5672"/>
    <w:rsid w:val="00BE6FF2"/>
    <w:rsid w:val="00BF13FB"/>
    <w:rsid w:val="00BF1B45"/>
    <w:rsid w:val="00BF3383"/>
    <w:rsid w:val="00BF44CC"/>
    <w:rsid w:val="00BF50E7"/>
    <w:rsid w:val="00BF572C"/>
    <w:rsid w:val="00BF6861"/>
    <w:rsid w:val="00BF71C3"/>
    <w:rsid w:val="00C00109"/>
    <w:rsid w:val="00C00936"/>
    <w:rsid w:val="00C01707"/>
    <w:rsid w:val="00C031DF"/>
    <w:rsid w:val="00C0323C"/>
    <w:rsid w:val="00C03DB5"/>
    <w:rsid w:val="00C0440D"/>
    <w:rsid w:val="00C04752"/>
    <w:rsid w:val="00C049B4"/>
    <w:rsid w:val="00C05A46"/>
    <w:rsid w:val="00C06479"/>
    <w:rsid w:val="00C0654C"/>
    <w:rsid w:val="00C06868"/>
    <w:rsid w:val="00C0688A"/>
    <w:rsid w:val="00C06C96"/>
    <w:rsid w:val="00C07555"/>
    <w:rsid w:val="00C077C3"/>
    <w:rsid w:val="00C07B0C"/>
    <w:rsid w:val="00C114C0"/>
    <w:rsid w:val="00C11777"/>
    <w:rsid w:val="00C11C84"/>
    <w:rsid w:val="00C12048"/>
    <w:rsid w:val="00C13BF4"/>
    <w:rsid w:val="00C14420"/>
    <w:rsid w:val="00C15062"/>
    <w:rsid w:val="00C1589B"/>
    <w:rsid w:val="00C16B43"/>
    <w:rsid w:val="00C17C04"/>
    <w:rsid w:val="00C201E9"/>
    <w:rsid w:val="00C20DA2"/>
    <w:rsid w:val="00C23504"/>
    <w:rsid w:val="00C24E2A"/>
    <w:rsid w:val="00C2745B"/>
    <w:rsid w:val="00C27B6F"/>
    <w:rsid w:val="00C301BF"/>
    <w:rsid w:val="00C303A3"/>
    <w:rsid w:val="00C303BA"/>
    <w:rsid w:val="00C3114E"/>
    <w:rsid w:val="00C31436"/>
    <w:rsid w:val="00C318AE"/>
    <w:rsid w:val="00C31D16"/>
    <w:rsid w:val="00C326EC"/>
    <w:rsid w:val="00C33825"/>
    <w:rsid w:val="00C34320"/>
    <w:rsid w:val="00C34481"/>
    <w:rsid w:val="00C34CA2"/>
    <w:rsid w:val="00C34FFB"/>
    <w:rsid w:val="00C3689D"/>
    <w:rsid w:val="00C40227"/>
    <w:rsid w:val="00C4161E"/>
    <w:rsid w:val="00C41CF2"/>
    <w:rsid w:val="00C44271"/>
    <w:rsid w:val="00C4455A"/>
    <w:rsid w:val="00C46B2E"/>
    <w:rsid w:val="00C47161"/>
    <w:rsid w:val="00C5074A"/>
    <w:rsid w:val="00C50C80"/>
    <w:rsid w:val="00C512CA"/>
    <w:rsid w:val="00C51404"/>
    <w:rsid w:val="00C533E8"/>
    <w:rsid w:val="00C53A4D"/>
    <w:rsid w:val="00C53EFE"/>
    <w:rsid w:val="00C549DF"/>
    <w:rsid w:val="00C54E60"/>
    <w:rsid w:val="00C56E31"/>
    <w:rsid w:val="00C56EEC"/>
    <w:rsid w:val="00C578B5"/>
    <w:rsid w:val="00C57A18"/>
    <w:rsid w:val="00C60E6B"/>
    <w:rsid w:val="00C6100B"/>
    <w:rsid w:val="00C6164C"/>
    <w:rsid w:val="00C647AE"/>
    <w:rsid w:val="00C64CC0"/>
    <w:rsid w:val="00C654E0"/>
    <w:rsid w:val="00C665FF"/>
    <w:rsid w:val="00C6714C"/>
    <w:rsid w:val="00C673C6"/>
    <w:rsid w:val="00C67869"/>
    <w:rsid w:val="00C70A13"/>
    <w:rsid w:val="00C713EC"/>
    <w:rsid w:val="00C721A1"/>
    <w:rsid w:val="00C72787"/>
    <w:rsid w:val="00C7391B"/>
    <w:rsid w:val="00C73993"/>
    <w:rsid w:val="00C74210"/>
    <w:rsid w:val="00C76B89"/>
    <w:rsid w:val="00C77560"/>
    <w:rsid w:val="00C8287B"/>
    <w:rsid w:val="00C83593"/>
    <w:rsid w:val="00C848D5"/>
    <w:rsid w:val="00C8535C"/>
    <w:rsid w:val="00C85975"/>
    <w:rsid w:val="00C85D91"/>
    <w:rsid w:val="00C86207"/>
    <w:rsid w:val="00C865E5"/>
    <w:rsid w:val="00C86AE1"/>
    <w:rsid w:val="00C87D0E"/>
    <w:rsid w:val="00C900A7"/>
    <w:rsid w:val="00C90594"/>
    <w:rsid w:val="00C925CF"/>
    <w:rsid w:val="00C92A95"/>
    <w:rsid w:val="00C9328A"/>
    <w:rsid w:val="00C94183"/>
    <w:rsid w:val="00C95281"/>
    <w:rsid w:val="00C95596"/>
    <w:rsid w:val="00C96997"/>
    <w:rsid w:val="00C96EA3"/>
    <w:rsid w:val="00CA0A88"/>
    <w:rsid w:val="00CA13A9"/>
    <w:rsid w:val="00CA15E3"/>
    <w:rsid w:val="00CA39BD"/>
    <w:rsid w:val="00CA3EC0"/>
    <w:rsid w:val="00CA622B"/>
    <w:rsid w:val="00CA6E50"/>
    <w:rsid w:val="00CA722C"/>
    <w:rsid w:val="00CA755D"/>
    <w:rsid w:val="00CA76AB"/>
    <w:rsid w:val="00CB0596"/>
    <w:rsid w:val="00CB06C7"/>
    <w:rsid w:val="00CB1BDE"/>
    <w:rsid w:val="00CB1FED"/>
    <w:rsid w:val="00CB28FB"/>
    <w:rsid w:val="00CB48F8"/>
    <w:rsid w:val="00CB4BE0"/>
    <w:rsid w:val="00CB5417"/>
    <w:rsid w:val="00CB55D3"/>
    <w:rsid w:val="00CB578A"/>
    <w:rsid w:val="00CB63A1"/>
    <w:rsid w:val="00CB720A"/>
    <w:rsid w:val="00CB7629"/>
    <w:rsid w:val="00CC165C"/>
    <w:rsid w:val="00CC4810"/>
    <w:rsid w:val="00CC4BA4"/>
    <w:rsid w:val="00CC64FB"/>
    <w:rsid w:val="00CC7644"/>
    <w:rsid w:val="00CD102D"/>
    <w:rsid w:val="00CD109C"/>
    <w:rsid w:val="00CD14EC"/>
    <w:rsid w:val="00CD15E8"/>
    <w:rsid w:val="00CD1866"/>
    <w:rsid w:val="00CD2544"/>
    <w:rsid w:val="00CD2C29"/>
    <w:rsid w:val="00CD4148"/>
    <w:rsid w:val="00CD4D72"/>
    <w:rsid w:val="00CD5248"/>
    <w:rsid w:val="00CD61E6"/>
    <w:rsid w:val="00CD6392"/>
    <w:rsid w:val="00CE00C1"/>
    <w:rsid w:val="00CE069A"/>
    <w:rsid w:val="00CE2E8D"/>
    <w:rsid w:val="00CE3319"/>
    <w:rsid w:val="00CE68A7"/>
    <w:rsid w:val="00CE77BF"/>
    <w:rsid w:val="00CE7A19"/>
    <w:rsid w:val="00CF0C43"/>
    <w:rsid w:val="00CF1E32"/>
    <w:rsid w:val="00CF4D97"/>
    <w:rsid w:val="00CF5E19"/>
    <w:rsid w:val="00CF6A11"/>
    <w:rsid w:val="00CF6F35"/>
    <w:rsid w:val="00CF78AD"/>
    <w:rsid w:val="00D00C63"/>
    <w:rsid w:val="00D010B7"/>
    <w:rsid w:val="00D0125C"/>
    <w:rsid w:val="00D031FE"/>
    <w:rsid w:val="00D113E4"/>
    <w:rsid w:val="00D11558"/>
    <w:rsid w:val="00D12E12"/>
    <w:rsid w:val="00D134AB"/>
    <w:rsid w:val="00D14537"/>
    <w:rsid w:val="00D14770"/>
    <w:rsid w:val="00D14EF9"/>
    <w:rsid w:val="00D153D3"/>
    <w:rsid w:val="00D1588F"/>
    <w:rsid w:val="00D15BA3"/>
    <w:rsid w:val="00D166DB"/>
    <w:rsid w:val="00D17489"/>
    <w:rsid w:val="00D21CE2"/>
    <w:rsid w:val="00D22194"/>
    <w:rsid w:val="00D22CF1"/>
    <w:rsid w:val="00D23B62"/>
    <w:rsid w:val="00D241D6"/>
    <w:rsid w:val="00D24685"/>
    <w:rsid w:val="00D24A75"/>
    <w:rsid w:val="00D2573F"/>
    <w:rsid w:val="00D25CE0"/>
    <w:rsid w:val="00D2605B"/>
    <w:rsid w:val="00D260B0"/>
    <w:rsid w:val="00D266CF"/>
    <w:rsid w:val="00D269AA"/>
    <w:rsid w:val="00D31163"/>
    <w:rsid w:val="00D32087"/>
    <w:rsid w:val="00D348ED"/>
    <w:rsid w:val="00D35AF5"/>
    <w:rsid w:val="00D37888"/>
    <w:rsid w:val="00D41414"/>
    <w:rsid w:val="00D414E4"/>
    <w:rsid w:val="00D4282E"/>
    <w:rsid w:val="00D428F9"/>
    <w:rsid w:val="00D42D43"/>
    <w:rsid w:val="00D435C9"/>
    <w:rsid w:val="00D45111"/>
    <w:rsid w:val="00D46000"/>
    <w:rsid w:val="00D46E7B"/>
    <w:rsid w:val="00D47A94"/>
    <w:rsid w:val="00D51A99"/>
    <w:rsid w:val="00D51E18"/>
    <w:rsid w:val="00D554B4"/>
    <w:rsid w:val="00D5551B"/>
    <w:rsid w:val="00D55D40"/>
    <w:rsid w:val="00D57717"/>
    <w:rsid w:val="00D5777C"/>
    <w:rsid w:val="00D600B6"/>
    <w:rsid w:val="00D61A7A"/>
    <w:rsid w:val="00D627FB"/>
    <w:rsid w:val="00D6285D"/>
    <w:rsid w:val="00D62BF6"/>
    <w:rsid w:val="00D62E1F"/>
    <w:rsid w:val="00D6463E"/>
    <w:rsid w:val="00D67094"/>
    <w:rsid w:val="00D678B0"/>
    <w:rsid w:val="00D708B5"/>
    <w:rsid w:val="00D72157"/>
    <w:rsid w:val="00D7215A"/>
    <w:rsid w:val="00D738AD"/>
    <w:rsid w:val="00D74000"/>
    <w:rsid w:val="00D74AFB"/>
    <w:rsid w:val="00D76B2D"/>
    <w:rsid w:val="00D77E54"/>
    <w:rsid w:val="00D815D0"/>
    <w:rsid w:val="00D81FEB"/>
    <w:rsid w:val="00D821E9"/>
    <w:rsid w:val="00D833A6"/>
    <w:rsid w:val="00D83AEC"/>
    <w:rsid w:val="00D843F6"/>
    <w:rsid w:val="00D844FE"/>
    <w:rsid w:val="00D867BD"/>
    <w:rsid w:val="00D868E9"/>
    <w:rsid w:val="00D872D1"/>
    <w:rsid w:val="00D9079D"/>
    <w:rsid w:val="00D90894"/>
    <w:rsid w:val="00D90989"/>
    <w:rsid w:val="00D90F70"/>
    <w:rsid w:val="00D925DD"/>
    <w:rsid w:val="00D92EF5"/>
    <w:rsid w:val="00D938C9"/>
    <w:rsid w:val="00D93FD6"/>
    <w:rsid w:val="00D93FEA"/>
    <w:rsid w:val="00D94B33"/>
    <w:rsid w:val="00D94C7D"/>
    <w:rsid w:val="00D977D8"/>
    <w:rsid w:val="00DA0E4A"/>
    <w:rsid w:val="00DA16B7"/>
    <w:rsid w:val="00DA19C1"/>
    <w:rsid w:val="00DA1D8E"/>
    <w:rsid w:val="00DA27DF"/>
    <w:rsid w:val="00DA283C"/>
    <w:rsid w:val="00DA45A6"/>
    <w:rsid w:val="00DA466B"/>
    <w:rsid w:val="00DA4DF7"/>
    <w:rsid w:val="00DA536F"/>
    <w:rsid w:val="00DA5D4E"/>
    <w:rsid w:val="00DB024E"/>
    <w:rsid w:val="00DB4C4A"/>
    <w:rsid w:val="00DB4CA9"/>
    <w:rsid w:val="00DB4D17"/>
    <w:rsid w:val="00DB520F"/>
    <w:rsid w:val="00DB5311"/>
    <w:rsid w:val="00DB5ABB"/>
    <w:rsid w:val="00DB5EE3"/>
    <w:rsid w:val="00DB7749"/>
    <w:rsid w:val="00DB7F61"/>
    <w:rsid w:val="00DC1424"/>
    <w:rsid w:val="00DC18CB"/>
    <w:rsid w:val="00DC21D5"/>
    <w:rsid w:val="00DC2214"/>
    <w:rsid w:val="00DC2710"/>
    <w:rsid w:val="00DC600D"/>
    <w:rsid w:val="00DC6262"/>
    <w:rsid w:val="00DC675B"/>
    <w:rsid w:val="00DC7FCC"/>
    <w:rsid w:val="00DD1490"/>
    <w:rsid w:val="00DD17C4"/>
    <w:rsid w:val="00DD2826"/>
    <w:rsid w:val="00DD4B9C"/>
    <w:rsid w:val="00DD5A72"/>
    <w:rsid w:val="00DD664C"/>
    <w:rsid w:val="00DD72CE"/>
    <w:rsid w:val="00DE1227"/>
    <w:rsid w:val="00DE1467"/>
    <w:rsid w:val="00DE20D2"/>
    <w:rsid w:val="00DE222F"/>
    <w:rsid w:val="00DE355F"/>
    <w:rsid w:val="00DE399D"/>
    <w:rsid w:val="00DE3C13"/>
    <w:rsid w:val="00DE3DBE"/>
    <w:rsid w:val="00DE412D"/>
    <w:rsid w:val="00DE4B07"/>
    <w:rsid w:val="00DE68F3"/>
    <w:rsid w:val="00DE6D30"/>
    <w:rsid w:val="00DE7C6F"/>
    <w:rsid w:val="00DF0309"/>
    <w:rsid w:val="00DF2040"/>
    <w:rsid w:val="00DF43EE"/>
    <w:rsid w:val="00DF45F1"/>
    <w:rsid w:val="00DF4616"/>
    <w:rsid w:val="00DF49AA"/>
    <w:rsid w:val="00DF54E8"/>
    <w:rsid w:val="00DF6146"/>
    <w:rsid w:val="00DF633C"/>
    <w:rsid w:val="00DF65E4"/>
    <w:rsid w:val="00DF73C5"/>
    <w:rsid w:val="00DF73CE"/>
    <w:rsid w:val="00E0005A"/>
    <w:rsid w:val="00E005EA"/>
    <w:rsid w:val="00E006ED"/>
    <w:rsid w:val="00E0201C"/>
    <w:rsid w:val="00E0643C"/>
    <w:rsid w:val="00E0677B"/>
    <w:rsid w:val="00E06F3E"/>
    <w:rsid w:val="00E1004B"/>
    <w:rsid w:val="00E102E8"/>
    <w:rsid w:val="00E106B9"/>
    <w:rsid w:val="00E11086"/>
    <w:rsid w:val="00E11FF7"/>
    <w:rsid w:val="00E13AA8"/>
    <w:rsid w:val="00E14A07"/>
    <w:rsid w:val="00E14ED9"/>
    <w:rsid w:val="00E15127"/>
    <w:rsid w:val="00E15CFB"/>
    <w:rsid w:val="00E15EA3"/>
    <w:rsid w:val="00E168B8"/>
    <w:rsid w:val="00E17661"/>
    <w:rsid w:val="00E17698"/>
    <w:rsid w:val="00E20A7D"/>
    <w:rsid w:val="00E21222"/>
    <w:rsid w:val="00E21816"/>
    <w:rsid w:val="00E22408"/>
    <w:rsid w:val="00E2250A"/>
    <w:rsid w:val="00E22C63"/>
    <w:rsid w:val="00E23328"/>
    <w:rsid w:val="00E25065"/>
    <w:rsid w:val="00E255B4"/>
    <w:rsid w:val="00E26E60"/>
    <w:rsid w:val="00E2707D"/>
    <w:rsid w:val="00E2713A"/>
    <w:rsid w:val="00E2793F"/>
    <w:rsid w:val="00E27B84"/>
    <w:rsid w:val="00E30461"/>
    <w:rsid w:val="00E30757"/>
    <w:rsid w:val="00E32F58"/>
    <w:rsid w:val="00E33377"/>
    <w:rsid w:val="00E33DCE"/>
    <w:rsid w:val="00E343BC"/>
    <w:rsid w:val="00E34669"/>
    <w:rsid w:val="00E34852"/>
    <w:rsid w:val="00E36D21"/>
    <w:rsid w:val="00E37732"/>
    <w:rsid w:val="00E37FEC"/>
    <w:rsid w:val="00E4178D"/>
    <w:rsid w:val="00E427AA"/>
    <w:rsid w:val="00E4289A"/>
    <w:rsid w:val="00E42AC5"/>
    <w:rsid w:val="00E45A14"/>
    <w:rsid w:val="00E45BED"/>
    <w:rsid w:val="00E507A0"/>
    <w:rsid w:val="00E50EF9"/>
    <w:rsid w:val="00E51AFA"/>
    <w:rsid w:val="00E52D1D"/>
    <w:rsid w:val="00E533F1"/>
    <w:rsid w:val="00E53628"/>
    <w:rsid w:val="00E5446F"/>
    <w:rsid w:val="00E5555A"/>
    <w:rsid w:val="00E6187B"/>
    <w:rsid w:val="00E62747"/>
    <w:rsid w:val="00E6424D"/>
    <w:rsid w:val="00E650BD"/>
    <w:rsid w:val="00E651A7"/>
    <w:rsid w:val="00E65D0D"/>
    <w:rsid w:val="00E65D43"/>
    <w:rsid w:val="00E663CF"/>
    <w:rsid w:val="00E66DA5"/>
    <w:rsid w:val="00E709CF"/>
    <w:rsid w:val="00E71356"/>
    <w:rsid w:val="00E7215B"/>
    <w:rsid w:val="00E73971"/>
    <w:rsid w:val="00E74350"/>
    <w:rsid w:val="00E7591A"/>
    <w:rsid w:val="00E768EE"/>
    <w:rsid w:val="00E80B36"/>
    <w:rsid w:val="00E813E8"/>
    <w:rsid w:val="00E81456"/>
    <w:rsid w:val="00E81F81"/>
    <w:rsid w:val="00E822D6"/>
    <w:rsid w:val="00E8235A"/>
    <w:rsid w:val="00E82F94"/>
    <w:rsid w:val="00E850D2"/>
    <w:rsid w:val="00E8530C"/>
    <w:rsid w:val="00E85C81"/>
    <w:rsid w:val="00E85E26"/>
    <w:rsid w:val="00E87466"/>
    <w:rsid w:val="00E9025C"/>
    <w:rsid w:val="00E92F3C"/>
    <w:rsid w:val="00E94932"/>
    <w:rsid w:val="00E9544E"/>
    <w:rsid w:val="00E95FEC"/>
    <w:rsid w:val="00E9657A"/>
    <w:rsid w:val="00EA158E"/>
    <w:rsid w:val="00EA2746"/>
    <w:rsid w:val="00EA3D57"/>
    <w:rsid w:val="00EA451B"/>
    <w:rsid w:val="00EA4D82"/>
    <w:rsid w:val="00EA4FC5"/>
    <w:rsid w:val="00EA7B9C"/>
    <w:rsid w:val="00EB0F86"/>
    <w:rsid w:val="00EB21E4"/>
    <w:rsid w:val="00EB2661"/>
    <w:rsid w:val="00EB2919"/>
    <w:rsid w:val="00EB291D"/>
    <w:rsid w:val="00EB37A2"/>
    <w:rsid w:val="00EB3FC9"/>
    <w:rsid w:val="00EB4940"/>
    <w:rsid w:val="00EB5C69"/>
    <w:rsid w:val="00EC1AAD"/>
    <w:rsid w:val="00EC3689"/>
    <w:rsid w:val="00EC401E"/>
    <w:rsid w:val="00EC4044"/>
    <w:rsid w:val="00EC4613"/>
    <w:rsid w:val="00EC48D4"/>
    <w:rsid w:val="00EC74F3"/>
    <w:rsid w:val="00EC7669"/>
    <w:rsid w:val="00ED12D4"/>
    <w:rsid w:val="00ED2913"/>
    <w:rsid w:val="00ED3719"/>
    <w:rsid w:val="00ED3C4F"/>
    <w:rsid w:val="00ED431B"/>
    <w:rsid w:val="00ED54ED"/>
    <w:rsid w:val="00ED57D5"/>
    <w:rsid w:val="00ED6BAC"/>
    <w:rsid w:val="00ED7742"/>
    <w:rsid w:val="00EE0032"/>
    <w:rsid w:val="00EE01D6"/>
    <w:rsid w:val="00EE0896"/>
    <w:rsid w:val="00EE2AFA"/>
    <w:rsid w:val="00EE2FD4"/>
    <w:rsid w:val="00EE3FDC"/>
    <w:rsid w:val="00EE46B3"/>
    <w:rsid w:val="00EE498F"/>
    <w:rsid w:val="00EE6D93"/>
    <w:rsid w:val="00EE715F"/>
    <w:rsid w:val="00EE7D2B"/>
    <w:rsid w:val="00EF07A5"/>
    <w:rsid w:val="00EF0E68"/>
    <w:rsid w:val="00EF3A88"/>
    <w:rsid w:val="00EF4BA3"/>
    <w:rsid w:val="00EF5483"/>
    <w:rsid w:val="00EF5A40"/>
    <w:rsid w:val="00EF6275"/>
    <w:rsid w:val="00EF630B"/>
    <w:rsid w:val="00EF64E9"/>
    <w:rsid w:val="00EF6A15"/>
    <w:rsid w:val="00EF7AF5"/>
    <w:rsid w:val="00F002A7"/>
    <w:rsid w:val="00F01ABA"/>
    <w:rsid w:val="00F029F2"/>
    <w:rsid w:val="00F03063"/>
    <w:rsid w:val="00F044A5"/>
    <w:rsid w:val="00F075A9"/>
    <w:rsid w:val="00F07792"/>
    <w:rsid w:val="00F07BCF"/>
    <w:rsid w:val="00F11BCB"/>
    <w:rsid w:val="00F11E89"/>
    <w:rsid w:val="00F1229E"/>
    <w:rsid w:val="00F12773"/>
    <w:rsid w:val="00F130D4"/>
    <w:rsid w:val="00F1337B"/>
    <w:rsid w:val="00F14D21"/>
    <w:rsid w:val="00F1630A"/>
    <w:rsid w:val="00F2048A"/>
    <w:rsid w:val="00F21ED1"/>
    <w:rsid w:val="00F220D8"/>
    <w:rsid w:val="00F231DB"/>
    <w:rsid w:val="00F23F6D"/>
    <w:rsid w:val="00F2404C"/>
    <w:rsid w:val="00F25ADE"/>
    <w:rsid w:val="00F269E2"/>
    <w:rsid w:val="00F30150"/>
    <w:rsid w:val="00F30454"/>
    <w:rsid w:val="00F31883"/>
    <w:rsid w:val="00F339C4"/>
    <w:rsid w:val="00F347B2"/>
    <w:rsid w:val="00F34DD9"/>
    <w:rsid w:val="00F358EA"/>
    <w:rsid w:val="00F365DD"/>
    <w:rsid w:val="00F36A6B"/>
    <w:rsid w:val="00F3796A"/>
    <w:rsid w:val="00F41789"/>
    <w:rsid w:val="00F424E8"/>
    <w:rsid w:val="00F463BA"/>
    <w:rsid w:val="00F4678E"/>
    <w:rsid w:val="00F47399"/>
    <w:rsid w:val="00F47A01"/>
    <w:rsid w:val="00F47ECB"/>
    <w:rsid w:val="00F50251"/>
    <w:rsid w:val="00F525E3"/>
    <w:rsid w:val="00F5374D"/>
    <w:rsid w:val="00F53DB2"/>
    <w:rsid w:val="00F575F3"/>
    <w:rsid w:val="00F5771B"/>
    <w:rsid w:val="00F60099"/>
    <w:rsid w:val="00F60948"/>
    <w:rsid w:val="00F60BB0"/>
    <w:rsid w:val="00F61B5A"/>
    <w:rsid w:val="00F63AF6"/>
    <w:rsid w:val="00F63C54"/>
    <w:rsid w:val="00F649D2"/>
    <w:rsid w:val="00F64A8A"/>
    <w:rsid w:val="00F67B48"/>
    <w:rsid w:val="00F701F9"/>
    <w:rsid w:val="00F70BBF"/>
    <w:rsid w:val="00F73999"/>
    <w:rsid w:val="00F7462A"/>
    <w:rsid w:val="00F75AF2"/>
    <w:rsid w:val="00F762EB"/>
    <w:rsid w:val="00F7640C"/>
    <w:rsid w:val="00F772B4"/>
    <w:rsid w:val="00F77555"/>
    <w:rsid w:val="00F77934"/>
    <w:rsid w:val="00F77E8B"/>
    <w:rsid w:val="00F809F6"/>
    <w:rsid w:val="00F818DC"/>
    <w:rsid w:val="00F81CB0"/>
    <w:rsid w:val="00F826E9"/>
    <w:rsid w:val="00F82BB6"/>
    <w:rsid w:val="00F82FB9"/>
    <w:rsid w:val="00F836CF"/>
    <w:rsid w:val="00F8498C"/>
    <w:rsid w:val="00F84D2A"/>
    <w:rsid w:val="00F8557E"/>
    <w:rsid w:val="00F85E87"/>
    <w:rsid w:val="00F8602D"/>
    <w:rsid w:val="00F90E64"/>
    <w:rsid w:val="00F914C5"/>
    <w:rsid w:val="00F91663"/>
    <w:rsid w:val="00F919D7"/>
    <w:rsid w:val="00F91ADD"/>
    <w:rsid w:val="00F92A0A"/>
    <w:rsid w:val="00F92ECD"/>
    <w:rsid w:val="00F931DE"/>
    <w:rsid w:val="00F9367B"/>
    <w:rsid w:val="00F9395E"/>
    <w:rsid w:val="00F94B0A"/>
    <w:rsid w:val="00F95136"/>
    <w:rsid w:val="00F95C2E"/>
    <w:rsid w:val="00F97642"/>
    <w:rsid w:val="00FA1078"/>
    <w:rsid w:val="00FA2C28"/>
    <w:rsid w:val="00FA3353"/>
    <w:rsid w:val="00FA349F"/>
    <w:rsid w:val="00FA34CA"/>
    <w:rsid w:val="00FA46D8"/>
    <w:rsid w:val="00FA47EB"/>
    <w:rsid w:val="00FA4BF8"/>
    <w:rsid w:val="00FA510A"/>
    <w:rsid w:val="00FA51F3"/>
    <w:rsid w:val="00FA66B5"/>
    <w:rsid w:val="00FA6C48"/>
    <w:rsid w:val="00FA714B"/>
    <w:rsid w:val="00FA7377"/>
    <w:rsid w:val="00FA7972"/>
    <w:rsid w:val="00FA7AA8"/>
    <w:rsid w:val="00FB0F96"/>
    <w:rsid w:val="00FB13DB"/>
    <w:rsid w:val="00FB1797"/>
    <w:rsid w:val="00FB1819"/>
    <w:rsid w:val="00FB1F06"/>
    <w:rsid w:val="00FB22DD"/>
    <w:rsid w:val="00FB4A02"/>
    <w:rsid w:val="00FB596C"/>
    <w:rsid w:val="00FB5C29"/>
    <w:rsid w:val="00FB60C9"/>
    <w:rsid w:val="00FB7D4C"/>
    <w:rsid w:val="00FC1132"/>
    <w:rsid w:val="00FC1356"/>
    <w:rsid w:val="00FC1BE3"/>
    <w:rsid w:val="00FC21F0"/>
    <w:rsid w:val="00FC224F"/>
    <w:rsid w:val="00FC28B8"/>
    <w:rsid w:val="00FC2C90"/>
    <w:rsid w:val="00FC2D9D"/>
    <w:rsid w:val="00FC3B70"/>
    <w:rsid w:val="00FC3D6D"/>
    <w:rsid w:val="00FC4299"/>
    <w:rsid w:val="00FC4459"/>
    <w:rsid w:val="00FC4581"/>
    <w:rsid w:val="00FC5123"/>
    <w:rsid w:val="00FC58DA"/>
    <w:rsid w:val="00FC5BF4"/>
    <w:rsid w:val="00FD0823"/>
    <w:rsid w:val="00FD0A75"/>
    <w:rsid w:val="00FD1EA6"/>
    <w:rsid w:val="00FD3202"/>
    <w:rsid w:val="00FD369C"/>
    <w:rsid w:val="00FD42C2"/>
    <w:rsid w:val="00FD599E"/>
    <w:rsid w:val="00FD59AA"/>
    <w:rsid w:val="00FD6216"/>
    <w:rsid w:val="00FE0AEC"/>
    <w:rsid w:val="00FE262D"/>
    <w:rsid w:val="00FE2706"/>
    <w:rsid w:val="00FE3517"/>
    <w:rsid w:val="00FE3F83"/>
    <w:rsid w:val="00FE4B1C"/>
    <w:rsid w:val="00FE4D81"/>
    <w:rsid w:val="00FE6568"/>
    <w:rsid w:val="00FE69D4"/>
    <w:rsid w:val="00FF0C51"/>
    <w:rsid w:val="00FF1134"/>
    <w:rsid w:val="00FF1977"/>
    <w:rsid w:val="00FF24B8"/>
    <w:rsid w:val="00FF2907"/>
    <w:rsid w:val="00FF2E68"/>
    <w:rsid w:val="00FF2EE3"/>
    <w:rsid w:val="00FF3409"/>
    <w:rsid w:val="00FF5E65"/>
    <w:rsid w:val="00FF7A6B"/>
    <w:rsid w:val="035D0C73"/>
    <w:rsid w:val="037A804A"/>
    <w:rsid w:val="059677C2"/>
    <w:rsid w:val="0736CEEC"/>
    <w:rsid w:val="0754970E"/>
    <w:rsid w:val="07E21C54"/>
    <w:rsid w:val="085D0B55"/>
    <w:rsid w:val="086C5054"/>
    <w:rsid w:val="087005A2"/>
    <w:rsid w:val="096C0F72"/>
    <w:rsid w:val="09D63956"/>
    <w:rsid w:val="0A1888E6"/>
    <w:rsid w:val="0A7708C5"/>
    <w:rsid w:val="0AC8821E"/>
    <w:rsid w:val="0ACA00EA"/>
    <w:rsid w:val="0B13140C"/>
    <w:rsid w:val="0B85E3D9"/>
    <w:rsid w:val="0D275A0B"/>
    <w:rsid w:val="0DAFA8BF"/>
    <w:rsid w:val="0E597D34"/>
    <w:rsid w:val="0F891AA0"/>
    <w:rsid w:val="10221031"/>
    <w:rsid w:val="104E8AB9"/>
    <w:rsid w:val="110713CE"/>
    <w:rsid w:val="11FE04F1"/>
    <w:rsid w:val="12929A7A"/>
    <w:rsid w:val="159E2E4F"/>
    <w:rsid w:val="159F5E51"/>
    <w:rsid w:val="168559C2"/>
    <w:rsid w:val="1693038C"/>
    <w:rsid w:val="171A8853"/>
    <w:rsid w:val="17CB26DF"/>
    <w:rsid w:val="17EDCDD6"/>
    <w:rsid w:val="17F4599B"/>
    <w:rsid w:val="1903E136"/>
    <w:rsid w:val="1B2072CE"/>
    <w:rsid w:val="1B8D51EA"/>
    <w:rsid w:val="1D5AFE13"/>
    <w:rsid w:val="1D743981"/>
    <w:rsid w:val="1EF2E5D2"/>
    <w:rsid w:val="1F58E711"/>
    <w:rsid w:val="1F63DE24"/>
    <w:rsid w:val="1F951BDC"/>
    <w:rsid w:val="227FE3DB"/>
    <w:rsid w:val="229EEE58"/>
    <w:rsid w:val="22BA590F"/>
    <w:rsid w:val="23A43497"/>
    <w:rsid w:val="23B86EAF"/>
    <w:rsid w:val="259664BB"/>
    <w:rsid w:val="25B52339"/>
    <w:rsid w:val="25FBBE3F"/>
    <w:rsid w:val="26B1897A"/>
    <w:rsid w:val="2780EBD2"/>
    <w:rsid w:val="282D00E8"/>
    <w:rsid w:val="2888A8F3"/>
    <w:rsid w:val="28948621"/>
    <w:rsid w:val="2A8603B2"/>
    <w:rsid w:val="2A975EAD"/>
    <w:rsid w:val="2B2D03E7"/>
    <w:rsid w:val="2B2E4FF4"/>
    <w:rsid w:val="2B55915E"/>
    <w:rsid w:val="2B89021A"/>
    <w:rsid w:val="2DE5F658"/>
    <w:rsid w:val="2ED1F480"/>
    <w:rsid w:val="30489327"/>
    <w:rsid w:val="3119538C"/>
    <w:rsid w:val="319DB2BC"/>
    <w:rsid w:val="327E4898"/>
    <w:rsid w:val="32EC1CDD"/>
    <w:rsid w:val="332D2951"/>
    <w:rsid w:val="34B35E25"/>
    <w:rsid w:val="34D6A8B4"/>
    <w:rsid w:val="35C20EE2"/>
    <w:rsid w:val="35ED7158"/>
    <w:rsid w:val="35F7F85A"/>
    <w:rsid w:val="36D4D69D"/>
    <w:rsid w:val="38BF4615"/>
    <w:rsid w:val="38ECE9FD"/>
    <w:rsid w:val="39AF25D0"/>
    <w:rsid w:val="3A1F471D"/>
    <w:rsid w:val="3A416783"/>
    <w:rsid w:val="3BE016CE"/>
    <w:rsid w:val="3BF72D62"/>
    <w:rsid w:val="3CC1E5B4"/>
    <w:rsid w:val="3D0D492E"/>
    <w:rsid w:val="3D16E252"/>
    <w:rsid w:val="3D2013B5"/>
    <w:rsid w:val="3DA76F6F"/>
    <w:rsid w:val="3DD061C1"/>
    <w:rsid w:val="3E64629D"/>
    <w:rsid w:val="3EE7544A"/>
    <w:rsid w:val="402318E6"/>
    <w:rsid w:val="406371B6"/>
    <w:rsid w:val="40682B95"/>
    <w:rsid w:val="40A8473E"/>
    <w:rsid w:val="41672489"/>
    <w:rsid w:val="4306B390"/>
    <w:rsid w:val="448F82B2"/>
    <w:rsid w:val="44EE0649"/>
    <w:rsid w:val="45361890"/>
    <w:rsid w:val="4551CD57"/>
    <w:rsid w:val="45534C59"/>
    <w:rsid w:val="45C1B819"/>
    <w:rsid w:val="45EB450D"/>
    <w:rsid w:val="46F1A133"/>
    <w:rsid w:val="47A59BBE"/>
    <w:rsid w:val="4970ADCB"/>
    <w:rsid w:val="49CBE257"/>
    <w:rsid w:val="4A6D760E"/>
    <w:rsid w:val="4DF19794"/>
    <w:rsid w:val="4EB491EA"/>
    <w:rsid w:val="4F3A28C9"/>
    <w:rsid w:val="4F701A3E"/>
    <w:rsid w:val="520BFB8E"/>
    <w:rsid w:val="521A0DD7"/>
    <w:rsid w:val="5334FA75"/>
    <w:rsid w:val="53C63A57"/>
    <w:rsid w:val="53D0EE9B"/>
    <w:rsid w:val="557B4803"/>
    <w:rsid w:val="5694588B"/>
    <w:rsid w:val="5713322B"/>
    <w:rsid w:val="571DD9D0"/>
    <w:rsid w:val="5746C230"/>
    <w:rsid w:val="57E9E8EE"/>
    <w:rsid w:val="582D7980"/>
    <w:rsid w:val="58BB9543"/>
    <w:rsid w:val="58F98AE0"/>
    <w:rsid w:val="59C04D5A"/>
    <w:rsid w:val="59F4CD68"/>
    <w:rsid w:val="5AB0A291"/>
    <w:rsid w:val="5B46AADF"/>
    <w:rsid w:val="5B580DC9"/>
    <w:rsid w:val="5C30A970"/>
    <w:rsid w:val="5FF59847"/>
    <w:rsid w:val="600D90B9"/>
    <w:rsid w:val="60A46350"/>
    <w:rsid w:val="616164BB"/>
    <w:rsid w:val="63AC74D8"/>
    <w:rsid w:val="63F4B5BA"/>
    <w:rsid w:val="650F5DF6"/>
    <w:rsid w:val="65E77736"/>
    <w:rsid w:val="66B59C98"/>
    <w:rsid w:val="67AAD17A"/>
    <w:rsid w:val="67C9F924"/>
    <w:rsid w:val="686537DF"/>
    <w:rsid w:val="686D52DB"/>
    <w:rsid w:val="6889B453"/>
    <w:rsid w:val="68C9FCBC"/>
    <w:rsid w:val="692CAB7B"/>
    <w:rsid w:val="69B2DFD3"/>
    <w:rsid w:val="69CF15FF"/>
    <w:rsid w:val="6A204C28"/>
    <w:rsid w:val="6B2AE314"/>
    <w:rsid w:val="6C02A78C"/>
    <w:rsid w:val="6C9A58DC"/>
    <w:rsid w:val="6D7456FD"/>
    <w:rsid w:val="6E41A8E4"/>
    <w:rsid w:val="6E7FA403"/>
    <w:rsid w:val="6F12FF29"/>
    <w:rsid w:val="6F90272E"/>
    <w:rsid w:val="7076709F"/>
    <w:rsid w:val="70E225C5"/>
    <w:rsid w:val="7103C314"/>
    <w:rsid w:val="722D2ECB"/>
    <w:rsid w:val="756B039A"/>
    <w:rsid w:val="75A7B286"/>
    <w:rsid w:val="765C43BF"/>
    <w:rsid w:val="76CA274E"/>
    <w:rsid w:val="77337302"/>
    <w:rsid w:val="779992FB"/>
    <w:rsid w:val="77CA795A"/>
    <w:rsid w:val="77D95EA2"/>
    <w:rsid w:val="79E7FF19"/>
    <w:rsid w:val="79F38336"/>
    <w:rsid w:val="7B3059E2"/>
    <w:rsid w:val="7C174D2A"/>
    <w:rsid w:val="7D13D445"/>
    <w:rsid w:val="7DF5A6EA"/>
    <w:rsid w:val="7E6E3186"/>
    <w:rsid w:val="7F03B9B4"/>
    <w:rsid w:val="7F8E1770"/>
    <w:rsid w:val="7FCF19D1"/>
    <w:rsid w:val="7FF770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93EC0B7"/>
  <w15:chartTrackingRefBased/>
  <w15:docId w15:val="{96E059F1-01F2-4C94-97EF-8DA5F73E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n,single space,Fußnotentext arial,FOOTNOTES,Footnote Text Char Char,Footnote text,ADB,ADB Char,single space Char Char,pod carou,Текст сноски-FN,Table_Footnote_last,Текст сноски Знак Зн,footnote,text,ft,footnote text,Footnote Text Char1"/>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ußnotenzeichen DISS,ftref,BVI fnr,Char Char,Carattere Char1,Carattere Char Char Carattere Carattere Char Char,Знак сноски-FN,16 Point,Superscript 6 Point,Знак сноски 1,Footnote Reference Number,Odwołanie przypisu,f,Ref,de nota al pie"/>
    <w:link w:val="Char2"/>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fn Char,single space Char,Fußnotentext arial Char,FOOTNOTES Char,Footnote Text Char Char Char,Footnote text Char,ADB Char1,ADB Char Char,single space Char Char Char,pod carou Char,Текст сноски-FN Char,Table_Footnote_last Char,ft Char"/>
    <w:link w:val="FootnoteText"/>
    <w:uiPriority w:val="99"/>
    <w:qForma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paragraph" w:customStyle="1" w:styleId="Char2">
    <w:name w:val="Char2"/>
    <w:basedOn w:val="Normal"/>
    <w:link w:val="FootnoteReference"/>
    <w:uiPriority w:val="99"/>
    <w:qFormat/>
    <w:rsid w:val="00FA34CA"/>
    <w:pPr>
      <w:spacing w:after="160" w:line="240" w:lineRule="exact"/>
      <w:jc w:val="left"/>
    </w:pPr>
    <w:rPr>
      <w:sz w:val="18"/>
      <w:szCs w:val="20"/>
      <w:vertAlign w:val="superscript"/>
      <w:lang w:val="en-US" w:eastAsia="ja-JP"/>
    </w:rPr>
  </w:style>
  <w:style w:type="paragraph" w:styleId="ListParagraph">
    <w:name w:val="List Paragraph"/>
    <w:aliases w:val="List Paragraph12,List Paragraph1,List Paragraph (numbered (a)),WB Para,Bullets,Akapit z listą BS,List Square,Dot pt,F5 List Paragraph,List Paragraph Char Char Char,Indicator Text,Numbered Para 1,Bullet 1,Lapis Bulleted List,No Spacing1,L"/>
    <w:basedOn w:val="Normal"/>
    <w:link w:val="ListParagraphChar"/>
    <w:uiPriority w:val="34"/>
    <w:qFormat/>
    <w:rsid w:val="00220DC6"/>
    <w:pPr>
      <w:ind w:left="720"/>
    </w:pPr>
  </w:style>
  <w:style w:type="character" w:customStyle="1" w:styleId="ListParagraphChar">
    <w:name w:val="List Paragraph Char"/>
    <w:aliases w:val="List Paragraph12 Char,List Paragraph1 Char,List Paragraph (numbered (a)) Char,WB Para Char,Bullets Char,Akapit z listą BS Char,List Square Char,Dot pt Char,F5 List Paragraph Char,List Paragraph Char Char Char Char,Indicator Text Char"/>
    <w:link w:val="ListParagraph"/>
    <w:uiPriority w:val="34"/>
    <w:qFormat/>
    <w:locked/>
    <w:rsid w:val="007D79B2"/>
    <w:rPr>
      <w:rFonts w:ascii="Arial" w:hAnsi="Arial"/>
      <w:sz w:val="22"/>
      <w:szCs w:val="24"/>
      <w:lang w:val="en-GB"/>
    </w:rPr>
  </w:style>
  <w:style w:type="paragraph" w:styleId="Revision">
    <w:name w:val="Revision"/>
    <w:hidden/>
    <w:uiPriority w:val="71"/>
    <w:rsid w:val="001C2D1D"/>
    <w:rPr>
      <w:rFonts w:ascii="Arial" w:hAnsi="Arial"/>
      <w:sz w:val="22"/>
      <w:szCs w:val="24"/>
      <w:lang w:val="en-GB" w:eastAsia="en-US"/>
    </w:rPr>
  </w:style>
  <w:style w:type="paragraph" w:customStyle="1" w:styleId="BodyBA">
    <w:name w:val="Body B A"/>
    <w:rsid w:val="00040699"/>
    <w:pPr>
      <w:pBdr>
        <w:top w:val="nil"/>
        <w:left w:val="nil"/>
        <w:bottom w:val="nil"/>
        <w:right w:val="nil"/>
        <w:between w:val="nil"/>
        <w:bar w:val="nil"/>
      </w:pBdr>
    </w:pPr>
    <w:rPr>
      <w:color w:val="000000"/>
      <w:sz w:val="24"/>
      <w:szCs w:val="24"/>
      <w:u w:color="000000"/>
      <w:bdr w:val="nil"/>
      <w:lang w:eastAsia="en-GB"/>
    </w:rPr>
  </w:style>
  <w:style w:type="paragraph" w:styleId="NoSpacing">
    <w:name w:val="No Spacing"/>
    <w:uiPriority w:val="1"/>
    <w:qFormat/>
    <w:rsid w:val="00857771"/>
    <w:rPr>
      <w:rFonts w:ascii="Calibri" w:eastAsia="Calibri" w:hAnsi="Calibri" w:cs="Arial"/>
      <w:sz w:val="22"/>
      <w:szCs w:val="22"/>
      <w:lang w:val="en-GB" w:eastAsia="en-US"/>
    </w:rPr>
  </w:style>
  <w:style w:type="character" w:styleId="UnresolvedMention">
    <w:name w:val="Unresolved Mention"/>
    <w:uiPriority w:val="47"/>
    <w:rsid w:val="003A7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897">
      <w:bodyDiv w:val="1"/>
      <w:marLeft w:val="0"/>
      <w:marRight w:val="0"/>
      <w:marTop w:val="0"/>
      <w:marBottom w:val="0"/>
      <w:divBdr>
        <w:top w:val="none" w:sz="0" w:space="0" w:color="auto"/>
        <w:left w:val="none" w:sz="0" w:space="0" w:color="auto"/>
        <w:bottom w:val="none" w:sz="0" w:space="0" w:color="auto"/>
        <w:right w:val="none" w:sz="0" w:space="0" w:color="auto"/>
      </w:divBdr>
    </w:div>
    <w:div w:id="237397888">
      <w:bodyDiv w:val="1"/>
      <w:marLeft w:val="0"/>
      <w:marRight w:val="0"/>
      <w:marTop w:val="0"/>
      <w:marBottom w:val="0"/>
      <w:divBdr>
        <w:top w:val="none" w:sz="0" w:space="0" w:color="auto"/>
        <w:left w:val="none" w:sz="0" w:space="0" w:color="auto"/>
        <w:bottom w:val="none" w:sz="0" w:space="0" w:color="auto"/>
        <w:right w:val="none" w:sz="0" w:space="0" w:color="auto"/>
      </w:divBdr>
    </w:div>
    <w:div w:id="302196371">
      <w:bodyDiv w:val="1"/>
      <w:marLeft w:val="0"/>
      <w:marRight w:val="0"/>
      <w:marTop w:val="0"/>
      <w:marBottom w:val="0"/>
      <w:divBdr>
        <w:top w:val="none" w:sz="0" w:space="0" w:color="auto"/>
        <w:left w:val="none" w:sz="0" w:space="0" w:color="auto"/>
        <w:bottom w:val="none" w:sz="0" w:space="0" w:color="auto"/>
        <w:right w:val="none" w:sz="0" w:space="0" w:color="auto"/>
      </w:divBdr>
    </w:div>
    <w:div w:id="310981812">
      <w:bodyDiv w:val="1"/>
      <w:marLeft w:val="0"/>
      <w:marRight w:val="0"/>
      <w:marTop w:val="0"/>
      <w:marBottom w:val="0"/>
      <w:divBdr>
        <w:top w:val="none" w:sz="0" w:space="0" w:color="auto"/>
        <w:left w:val="none" w:sz="0" w:space="0" w:color="auto"/>
        <w:bottom w:val="none" w:sz="0" w:space="0" w:color="auto"/>
        <w:right w:val="none" w:sz="0" w:space="0" w:color="auto"/>
      </w:divBdr>
    </w:div>
    <w:div w:id="356540911">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92612928">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47319180">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87837475">
      <w:bodyDiv w:val="1"/>
      <w:marLeft w:val="0"/>
      <w:marRight w:val="0"/>
      <w:marTop w:val="0"/>
      <w:marBottom w:val="0"/>
      <w:divBdr>
        <w:top w:val="none" w:sz="0" w:space="0" w:color="auto"/>
        <w:left w:val="none" w:sz="0" w:space="0" w:color="auto"/>
        <w:bottom w:val="none" w:sz="0" w:space="0" w:color="auto"/>
        <w:right w:val="none" w:sz="0" w:space="0" w:color="auto"/>
      </w:divBdr>
    </w:div>
    <w:div w:id="1898125538">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0" Type="http://schemas.openxmlformats.org/officeDocument/2006/relationships/footer" Target="footer3.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un.org/sc/committees/1267/aq_sanctions_list.shtml" TargetMode="External"/><Relationship Id="rId32" Type="http://schemas.openxmlformats.org/officeDocument/2006/relationships/customXml" Target="../customXml/item9.xml"/><Relationship Id="rId23" Type="http://schemas.openxmlformats.org/officeDocument/2006/relationships/header" Target="header4.xml"/><Relationship Id="rId15" Type="http://schemas.openxmlformats.org/officeDocument/2006/relationships/image" Target="media/image1.jpg"/><Relationship Id="rId10" Type="http://schemas.openxmlformats.org/officeDocument/2006/relationships/styles" Target="styles.xml"/><Relationship Id="rId19" Type="http://schemas.openxmlformats.org/officeDocument/2006/relationships/header" Target="header2.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igital/bridging-the-digital-gender-div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UNITRBAS-123-421</_dlc_DocId>
    <_dlc_DocIdUrl xmlns="f1161f5b-24a3-4c2d-bc81-44cb9325e8ee">
      <Url>https://info.undp.org/unit/rbas/partnerships/_layouts/15/DocIdRedir.aspx?ID=UNITRBAS-123-421</Url>
      <Description>UNITRBAS-123-421</Description>
    </_dlc_DocIdUrl>
    <TaxCatchAll xmlns="1ed4137b-41b2-488b-8250-6d369ec27664">
      <Value>763</Value>
      <Value>1150</Value>
      <Value>299</Value>
      <Value>1148</Value>
      <Value>1175</Value>
      <Value>1110</Value>
      <Value>665</Value>
      <Value>1</Value>
    </TaxCatchAll>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ublishedDate xmlns="f1161f5b-24a3-4c2d-bc81-44cb9325e8ee">2012-04-05T00:00:00+00:00</UNDPPublishedDate>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Jordan</TermName>
          <TermId xmlns="http://schemas.microsoft.com/office/infopath/2007/PartnerControls">400b13ed-7f78-4644-86f9-041f86595d28</TermId>
        </TermInfo>
      </Terms>
    </UNDPCountryTaxHTField0>
    <UndpOUCode xmlns="1ed4137b-41b2-488b-8250-6d369ec27664">JOR</UndpOUCod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Social cohesion</TermName>
          <TermId xmlns="http://schemas.microsoft.com/office/infopath/2007/PartnerControls">288ce7ff-7d2c-44d2-88ea-61c7723fb158</TermId>
        </TermInfo>
        <TermInfo xmlns="http://schemas.microsoft.com/office/infopath/2007/PartnerControls">
          <TermName xmlns="http://schemas.microsoft.com/office/infopath/2007/PartnerControls">Resilience</TermName>
          <TermId xmlns="http://schemas.microsoft.com/office/infopath/2007/PartnerControls">3417f382-f7a3-4ef0-8720-9ea8649f4e75</TermId>
        </TermInfo>
        <TermInfo xmlns="http://schemas.microsoft.com/office/infopath/2007/PartnerControls">
          <TermName xmlns="http://schemas.microsoft.com/office/infopath/2007/PartnerControls">Conflict prevention ＆ peace building</TermName>
          <TermId xmlns="http://schemas.microsoft.com/office/infopath/2007/PartnerControls">8b72ed19-b4e1-46ea-92b0-c78e2f45f9a2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_Publisher xmlns="http://schemas.microsoft.com/sharepoint/v3/fields" xsi:nil="true"/>
    <Document_x0020_Coverage_x0020_Period_x0020_Start_x0020_Date xmlns="f1161f5b-24a3-4c2d-bc81-44cb9325e8ee">2021-03-01T05:00:00+00:00</Document_x0020_Coverage_x0020_Period_x0020_Start_x0020_Date>
    <Document_x0020_Coverage_x0020_Period_x0020_End_x0020_Date xmlns="f1161f5b-24a3-4c2d-bc81-44cb9325e8ee">2022-03-31T04:00:00+00:00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00133736</UndpProjectNo>
    <UndpDocStatus xmlns="1ed4137b-41b2-488b-8250-6d369ec27664">Reviewed</UndpDocStatus>
    <Outcome1 xmlns="f1161f5b-24a3-4c2d-bc81-44cb9325e8ee">00125517</Outcome1>
    <UndpClassificationLevel xmlns="1ed4137b-41b2-488b-8250-6d369ec27664">Public</UndpClassificationLevel>
    <UndpIsTemplate xmlns="1ed4137b-41b2-488b-8250-6d369ec27664">No</UndpIsTemplate>
    <UndpDocID xmlns="1ed4137b-41b2-488b-8250-6d369ec27664"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1D75372FBFF428AE01747F2067440" ma:contentTypeVersion="2" ma:contentTypeDescription="Create a new document." ma:contentTypeScope="" ma:versionID="ce0655cf7b963516ede35eac7f0da82b">
  <xsd:schema xmlns:xsd="http://www.w3.org/2001/XMLSchema" xmlns:xs="http://www.w3.org/2001/XMLSchema" xmlns:p="http://schemas.microsoft.com/office/2006/metadata/properties" xmlns:ns2="be1f9eb2-67cd-40d7-8c36-14602884bf8c" targetNamespace="http://schemas.microsoft.com/office/2006/metadata/properties" ma:root="true" ma:fieldsID="70b485097667e034fe693aae924a1281" ns2:_="">
    <xsd:import namespace="be1f9eb2-67cd-40d7-8c36-14602884bf8c"/>
    <xsd:element name="properties">
      <xsd:complexType>
        <xsd:sequence>
          <xsd:element name="documentManagement">
            <xsd:complexType>
              <xsd:all>
                <xsd:element ref="ns2:_dlc_DocId" minOccurs="0"/>
                <xsd:element ref="ns2:_dlc_DocIdUrl" minOccurs="0"/>
                <xsd:element ref="ns2:_dlc_DocIdPersistId" minOccurs="0"/>
                <xsd:element ref="ns2:Country_x0020_Off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f9eb2-67cd-40d7-8c36-14602884bf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untry_x0020_Office" ma:index="11" nillable="true" ma:displayName="Country Office" ma:list="{cfb41656-ba32-42e2-8cc5-f2c3fe6a579f}" ma:internalName="Country_x0020_Office" ma:showField="Title" ma:web="be1f9eb2-67cd-40d7-8c36-14602884bf8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A6498A647DD2B4DA6B8922774BD344A" ma:contentTypeVersion="13" ma:contentTypeDescription="Create a new document." ma:contentTypeScope="" ma:versionID="30fea46da21087e60b852b4efed0a1ed">
  <xsd:schema xmlns:xsd="http://www.w3.org/2001/XMLSchema" xmlns:xs="http://www.w3.org/2001/XMLSchema" xmlns:p="http://schemas.microsoft.com/office/2006/metadata/properties" xmlns:ns3="80793a12-e2c8-47c8-a454-5d7527b2068f" xmlns:ns4="a34dab54-737a-4230-a8b5-67601bdef39d" targetNamespace="http://schemas.microsoft.com/office/2006/metadata/properties" ma:root="true" ma:fieldsID="71b1a9255536e82ef198a646479e5552" ns3:_="" ns4:_="">
    <xsd:import namespace="80793a12-e2c8-47c8-a454-5d7527b2068f"/>
    <xsd:import namespace="a34dab54-737a-4230-a8b5-67601bdef3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93a12-e2c8-47c8-a454-5d7527b20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4dab54-737a-4230-a8b5-67601bdef3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C1352D-0549-4C6A-A1D2-55CE9EFB1293}">
  <ds:schemaRefs>
    <ds:schemaRef ds:uri="http://schemas.microsoft.com/office/2006/metadata/properties"/>
    <ds:schemaRef ds:uri="http://schemas.microsoft.com/office/infopath/2007/PartnerControls"/>
    <ds:schemaRef ds:uri="be1f9eb2-67cd-40d7-8c36-14602884bf8c"/>
  </ds:schemaRefs>
</ds:datastoreItem>
</file>

<file path=customXml/itemProps2.xml><?xml version="1.0" encoding="utf-8"?>
<ds:datastoreItem xmlns:ds="http://schemas.openxmlformats.org/officeDocument/2006/customXml" ds:itemID="{0AF32873-F00E-402A-888E-51F87C278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f9eb2-67cd-40d7-8c36-14602884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0457F-FF93-4A6D-BBB5-92F0838AEE3A}">
  <ds:schemaRefs>
    <ds:schemaRef ds:uri="http://schemas.microsoft.com/sharepoint/v3/contenttype/forms"/>
  </ds:schemaRefs>
</ds:datastoreItem>
</file>

<file path=customXml/itemProps4.xml><?xml version="1.0" encoding="utf-8"?>
<ds:datastoreItem xmlns:ds="http://schemas.openxmlformats.org/officeDocument/2006/customXml" ds:itemID="{18F45232-01B9-4E8A-BBEB-88E5AA2495ED}"/>
</file>

<file path=customXml/itemProps5.xml><?xml version="1.0" encoding="utf-8"?>
<ds:datastoreItem xmlns:ds="http://schemas.openxmlformats.org/officeDocument/2006/customXml" ds:itemID="{41583FF4-63DC-46DD-805F-D941D6AA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93a12-e2c8-47c8-a454-5d7527b2068f"/>
    <ds:schemaRef ds:uri="a34dab54-737a-4230-a8b5-67601bdef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0256E0-647C-48D0-A454-0FDB61867444}"/>
</file>

<file path=customXml/itemProps7.xml><?xml version="1.0" encoding="utf-8"?>
<ds:datastoreItem xmlns:ds="http://schemas.openxmlformats.org/officeDocument/2006/customXml" ds:itemID="{9BB8D75A-4E5C-4B35-8B04-CE0EF5B4211A}">
  <ds:schemaRefs>
    <ds:schemaRef ds:uri="http://schemas.microsoft.com/office/2006/metadata/longProperties"/>
  </ds:schemaRefs>
</ds:datastoreItem>
</file>

<file path=customXml/itemProps8.xml><?xml version="1.0" encoding="utf-8"?>
<ds:datastoreItem xmlns:ds="http://schemas.openxmlformats.org/officeDocument/2006/customXml" ds:itemID="{FC2366F8-6050-4E03-A7D1-FB0E8DF80A77}">
  <ds:schemaRefs>
    <ds:schemaRef ds:uri="http://schemas.openxmlformats.org/officeDocument/2006/bibliography"/>
  </ds:schemaRefs>
</ds:datastoreItem>
</file>

<file path=customXml/itemProps9.xml><?xml version="1.0" encoding="utf-8"?>
<ds:datastoreItem xmlns:ds="http://schemas.openxmlformats.org/officeDocument/2006/customXml" ds:itemID="{D60B1645-C877-4F70-9330-24270C8F8757}"/>
</file>

<file path=docProps/app.xml><?xml version="1.0" encoding="utf-8"?>
<Properties xmlns="http://schemas.openxmlformats.org/officeDocument/2006/extended-properties" xmlns:vt="http://schemas.openxmlformats.org/officeDocument/2006/docPropsVTypes">
  <Template>Normal</Template>
  <TotalTime>643</TotalTime>
  <Pages>29</Pages>
  <Words>12534</Words>
  <Characters>71445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83812</CharactersWithSpaces>
  <SharedDoc>false</SharedDoc>
  <HLinks>
    <vt:vector size="6" baseType="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kana.kudo@undp.org</dc:creator>
  <cp:keywords/>
  <dc:description/>
  <cp:lastModifiedBy>Kana Kudo</cp:lastModifiedBy>
  <cp:revision>32</cp:revision>
  <cp:lastPrinted>2020-01-22T05:26:00Z</cp:lastPrinted>
  <dcterms:created xsi:type="dcterms:W3CDTF">2021-01-16T16:28:00Z</dcterms:created>
  <dcterms:modified xsi:type="dcterms:W3CDTF">2021-01-17T16:00:00Z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UNITRBAS-123-421</vt:lpwstr>
  </property>
  <property fmtid="{D5CDD505-2E9C-101B-9397-08002B2CF9AE}" pid="3" name="_dlc_DocIdItemGuid">
    <vt:lpwstr>ee762f1a-30ab-474a-95c0-aebb639b166f</vt:lpwstr>
  </property>
  <property fmtid="{D5CDD505-2E9C-101B-9397-08002B2CF9AE}" pid="4" name="_dlc_DocIdUrl">
    <vt:lpwstr>https://intranet.undp.org/unit/rbas/partnerships/_layouts/15/DocIdRedir.aspx?ID=UNITRBAS-123-421, UNITRBAS-123-421</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_POPP_VERSION_COMMENTS">
    <vt:lpwstr>Updated to add standard clauses on fraud and the gender marker</vt:lpwstr>
  </property>
  <property fmtid="{D5CDD505-2E9C-101B-9397-08002B2CF9AE}" pid="31" name="UNDP_POPP_BUSINESSPROCESS_HIDDEN">
    <vt:lpwstr/>
  </property>
  <property fmtid="{D5CDD505-2E9C-101B-9397-08002B2CF9AE}" pid="32" name="display_urn:schemas-microsoft-com:office:office#UNDP_POPP_FOCALPOINT">
    <vt:lpwstr>Jessica Murray</vt:lpwstr>
  </property>
  <property fmtid="{D5CDD505-2E9C-101B-9397-08002B2CF9AE}" pid="33" name="UNDP_POPP_NOTE">
    <vt:lpwstr/>
  </property>
  <property fmtid="{D5CDD505-2E9C-101B-9397-08002B2CF9AE}" pid="34" name="UNDP_POPP_REJECT_COMMENTS">
    <vt:lpwstr/>
  </property>
  <property fmtid="{D5CDD505-2E9C-101B-9397-08002B2CF9AE}" pid="35" name="UNDP_POPP_DOCUMENT_LANGUAGE">
    <vt:lpwstr>English</vt:lpwstr>
  </property>
  <property fmtid="{D5CDD505-2E9C-101B-9397-08002B2CF9AE}" pid="36" name="UNDP_POPP_EFFECTIVEDATE">
    <vt:lpwstr>2017-02-10T00:00:00Z</vt:lpwstr>
  </property>
  <property fmtid="{D5CDD505-2E9C-101B-9397-08002B2CF9AE}" pid="37" name="UNDP_POPP_FOCALPOINT">
    <vt:lpwstr>68;#i:0e.t|undpadfs|jessica.murray@undp.org</vt:lpwstr>
  </property>
  <property fmtid="{D5CDD505-2E9C-101B-9397-08002B2CF9AE}" pid="38" name="UNDP_POPP_DOCUMENT_TYPE">
    <vt:lpwstr>Template</vt:lpwstr>
  </property>
  <property fmtid="{D5CDD505-2E9C-101B-9397-08002B2CF9AE}" pid="39" name="UNDP_POPP_DOCUMENT_TEMPLATE">
    <vt:lpwstr/>
  </property>
  <property fmtid="{D5CDD505-2E9C-101B-9397-08002B2CF9AE}" pid="40" name="UNDP_POPP_ISACTIVE">
    <vt:lpwstr>1</vt:lpwstr>
  </property>
  <property fmtid="{D5CDD505-2E9C-101B-9397-08002B2CF9AE}" pid="41" name="UNDP_POPP_TITLE_EN">
    <vt:lpwstr>Project Document Template (2018)</vt:lpwstr>
  </property>
  <property fmtid="{D5CDD505-2E9C-101B-9397-08002B2CF9AE}" pid="42" name="Location">
    <vt:lpwstr>Public</vt:lpwstr>
  </property>
  <property fmtid="{D5CDD505-2E9C-101B-9397-08002B2CF9AE}" pid="43" name="UNDP_POPP_REFITEM_VERSION">
    <vt:lpwstr>1.00000000000000</vt:lpwstr>
  </property>
  <property fmtid="{D5CDD505-2E9C-101B-9397-08002B2CF9AE}" pid="44" name="UNDP_POPP_BUSINESSUNIT">
    <vt:lpwstr/>
  </property>
  <property fmtid="{D5CDD505-2E9C-101B-9397-08002B2CF9AE}" pid="45" name="l0e6ef0c43e74560bd7f3acd1f5e8571">
    <vt:lpwstr/>
  </property>
  <property fmtid="{D5CDD505-2E9C-101B-9397-08002B2CF9AE}" pid="46" name="POPPBusinessProcess">
    <vt:lpwstr/>
  </property>
  <property fmtid="{D5CDD505-2E9C-101B-9397-08002B2CF9AE}" pid="47" name="DLCPolicyLabelLock">
    <vt:lpwstr/>
  </property>
  <property fmtid="{D5CDD505-2E9C-101B-9397-08002B2CF9AE}" pid="48" name="DLCPolicyLabelClientValue">
    <vt:lpwstr>Effective Date: 2/10/2017                                                Version #: 1.0</vt:lpwstr>
  </property>
  <property fmtid="{D5CDD505-2E9C-101B-9397-08002B2CF9AE}" pid="49" name="UNDP_POPP_PLANNED_REVIEWDATE">
    <vt:lpwstr/>
  </property>
  <property fmtid="{D5CDD505-2E9C-101B-9397-08002B2CF9AE}" pid="50" name="UNDP_POPP_BUSINESSUNITID_HIDDEN">
    <vt:lpwstr/>
  </property>
  <property fmtid="{D5CDD505-2E9C-101B-9397-08002B2CF9AE}" pid="51" name="UNDP_POPP_FILEVERSION">
    <vt:lpwstr/>
  </property>
  <property fmtid="{D5CDD505-2E9C-101B-9397-08002B2CF9AE}" pid="52" name="UNDP_POPP_LASTMODIFIED">
    <vt:lpwstr/>
  </property>
  <property fmtid="{D5CDD505-2E9C-101B-9397-08002B2CF9AE}" pid="53" name="DLCPolicyLabelValue">
    <vt:lpwstr>Effective Date: 2/10/2017                                                Version #: 1.0</vt:lpwstr>
  </property>
  <property fmtid="{D5CDD505-2E9C-101B-9397-08002B2CF9AE}" pid="54" name="Country Office">
    <vt:lpwstr>6</vt:lpwstr>
  </property>
  <property fmtid="{D5CDD505-2E9C-101B-9397-08002B2CF9AE}" pid="55" name="UNDPCountry">
    <vt:lpwstr>1148;#Jordan|400b13ed-7f78-4644-86f9-041f86595d28</vt:lpwstr>
  </property>
  <property fmtid="{D5CDD505-2E9C-101B-9397-08002B2CF9AE}" pid="56" name="UN Languages">
    <vt:lpwstr>1;#English|7f98b732-4b5b-4b70-ba90-a0eff09b5d2d</vt:lpwstr>
  </property>
  <property fmtid="{D5CDD505-2E9C-101B-9397-08002B2CF9AE}" pid="57" name="Operating Unit0">
    <vt:lpwstr>1150;#JOR|cb0ad2f2-dea1-449d-885d-dcda0578bd7c</vt:lpwstr>
  </property>
  <property fmtid="{D5CDD505-2E9C-101B-9397-08002B2CF9AE}" pid="58" name="Atlas Document Status">
    <vt:lpwstr>763;#Draft|121d40a5-e62e-4d42-82e4-d6d12003de0a</vt:lpwstr>
  </property>
  <property fmtid="{D5CDD505-2E9C-101B-9397-08002B2CF9AE}" pid="59" name="Atlas Document Type">
    <vt:lpwstr>1110;#Prodoc|099f975e-b4d9-4bba-a499-dbcc387c61ad</vt:lpwstr>
  </property>
  <property fmtid="{D5CDD505-2E9C-101B-9397-08002B2CF9AE}" pid="60" name="eRegFilingCodeMM">
    <vt:lpwstr/>
  </property>
  <property fmtid="{D5CDD505-2E9C-101B-9397-08002B2CF9AE}" pid="61" name="UndpUnitMM">
    <vt:lpwstr/>
  </property>
  <property fmtid="{D5CDD505-2E9C-101B-9397-08002B2CF9AE}" pid="62" name="UNDPFocusAreas">
    <vt:lpwstr>665;#Social cohesion|288ce7ff-7d2c-44d2-88ea-61c7723fb158;#1175;#Resilience|3417f382-f7a3-4ef0-8720-9ea8649f4e75;#299;#Conflict prevention ＆ peace building|8b72ed19-b4e1-46ea-92b0-c78e2f45f9a2</vt:lpwstr>
  </property>
  <property fmtid="{D5CDD505-2E9C-101B-9397-08002B2CF9AE}" pid="63" name="UndpDocTypeMM">
    <vt:lpwstr/>
  </property>
  <property fmtid="{D5CDD505-2E9C-101B-9397-08002B2CF9AE}" pid="64" name="UNDPDocumentCategory">
    <vt:lpwstr/>
  </property>
  <property fmtid="{D5CDD505-2E9C-101B-9397-08002B2CF9AE}" pid="65" name="DocumentSetDescription">
    <vt:lpwstr/>
  </property>
  <property fmtid="{D5CDD505-2E9C-101B-9397-08002B2CF9AE}" pid="66" name="Unit">
    <vt:lpwstr/>
  </property>
  <property fmtid="{D5CDD505-2E9C-101B-9397-08002B2CF9AE}" pid="67" name="URL">
    <vt:lpwstr/>
  </property>
  <property fmtid="{D5CDD505-2E9C-101B-9397-08002B2CF9AE}" pid="68" name="UnitTaxHTField0">
    <vt:lpwstr/>
  </property>
</Properties>
</file>